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 и обработки персональных данных</w:t>
      </w:r>
    </w:p>
    <w:p>
      <w:r>
        <w:t>Ustaz Studio • ТОО «Хастлерс»</w:t>
      </w:r>
    </w:p>
    <w:p>
      <w:r>
        <w:t>Редакция от 29.10.2026. Применяется с момента размещения на https://ustaz.studio/. Предыдущая редакция от 05.10.2026 сохраняется в архиве редакций; новые согласия не оформляются задним числом.</w:t>
      </w:r>
    </w:p>
    <w:p>
      <w:pPr>
        <w:pStyle w:val="Heading1"/>
      </w:pPr>
      <w:r>
        <w:t>1. Оператор и область действия</w:t>
      </w:r>
    </w:p>
    <w:p>
      <w:r>
        <w:t>1.1. ТОО «Хастлерс», БИН 260740029223 (далее — Оператор), обрабатывает данные пользователей https://ustaz.studio/ и лиц, обращающихся в поддержку. Сервис предназначен для подготовки КМЖ с помощью ИИ, скачивания DOCX и хранения документов в личном архиве.</w:t>
      </w:r>
    </w:p>
    <w:p>
      <w:r>
        <w:t>1.2. Политика применяется к регистрации, личному кабинету, оплате, созданию КМЖ и поддержке. Сервис предназначен для совершеннолетних педагогов. Отдельные учётные записи учащихся не предусмотрены.</w:t>
      </w:r>
    </w:p>
    <w:p>
      <w:r>
        <w:t>1.3. Оператор запрашивает подтверждаемое согласие в применимых случаях. Простое открытие страницы не считается согласием на произвольную обработку данных. Данные используются для обозначенных целей; обработка без согласия допускается только при наличии предусмотренного законом основания.</w:t>
      </w:r>
    </w:p>
    <w:p>
      <w:pPr>
        <w:pStyle w:val="Heading1"/>
      </w:pPr>
      <w:r>
        <w:t>2. Какие сведения обрабатываются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Категория</w:t>
            </w:r>
          </w:p>
        </w:tc>
        <w:tc>
          <w:tcPr>
            <w:tcW w:type="dxa" w:w="4320"/>
          </w:tcPr>
          <w:p>
            <w:r>
              <w:t>Сведения и назначение</w:t>
            </w:r>
          </w:p>
        </w:tc>
      </w:tr>
      <w:tr>
        <w:tc>
          <w:tcPr>
            <w:tcW w:type="dxa" w:w="4320"/>
          </w:tcPr>
          <w:p>
            <w:r>
              <w:t>Регистрация и вход</w:t>
            </w:r>
          </w:p>
        </w:tc>
        <w:tc>
          <w:tcPr>
            <w:tcW w:type="dxa" w:w="4320"/>
          </w:tcPr>
          <w:p>
            <w:r>
              <w:t>Имя, фамилия и отчество при наличии, email, идентификатор учётной записи, защищённые данные аутентификации, статусы подтверждения email и сессий. Нужны для регистрации, входа и восстановления доступа. Пароль нельзя передавать в поддержку.</w:t>
            </w:r>
          </w:p>
        </w:tc>
      </w:tr>
      <w:tr>
        <w:tc>
          <w:tcPr>
            <w:tcW w:type="dxa" w:w="4320"/>
          </w:tcPr>
          <w:p>
            <w:r>
              <w:t>Профиль и исторические организационные сведения</w:t>
            </w:r>
          </w:p>
        </w:tc>
        <w:tc>
          <w:tcPr>
            <w:tcW w:type="dxa" w:w="4320"/>
          </w:tcPr>
          <w:p>
            <w:r>
              <w:t>Имя, роль и технический идентификатор организации; ранее полученные назначения и права доступа сохраняются в необходимом объёме для прежних обязательств, безопасности и поддержки. Новый продукт — индивидуальное создание КМЖ.</w:t>
            </w:r>
          </w:p>
        </w:tc>
      </w:tr>
      <w:tr>
        <w:tc>
          <w:tcPr>
            <w:tcW w:type="dxa" w:w="4320"/>
          </w:tcPr>
          <w:p>
            <w:r>
              <w:t>Исторические обращения организаций</w:t>
            </w:r>
          </w:p>
        </w:tc>
        <w:tc>
          <w:tcPr>
            <w:tcW w:type="dxa" w:w="4320"/>
          </w:tcPr>
          <w:p>
            <w:r>
              <w:t>Ранее переданные контакты и реквизиты сохраняются только при наличии необходимой цели обработки; новые коллективные тарифы не предлагаются.</w:t>
            </w:r>
          </w:p>
        </w:tc>
      </w:tr>
      <w:tr>
        <w:tc>
          <w:tcPr>
            <w:tcW w:type="dxa" w:w="4320"/>
          </w:tcPr>
          <w:p>
            <w:r>
              <w:t>Учебные материалы</w:t>
            </w:r>
          </w:p>
        </w:tc>
        <w:tc>
          <w:tcPr>
            <w:tcW w:type="dxa" w:w="4320"/>
          </w:tcPr>
          <w:p>
            <w:r>
              <w:t>Предмет, класс, тема, язык, цели обучения, пользовательские тексты, сведения в создаваемых документах, история генераций, архив, результаты автоматического анализа. Нужны для подготовки материалов и работы архива.</w:t>
            </w:r>
          </w:p>
        </w:tc>
      </w:tr>
      <w:tr>
        <w:tc>
          <w:tcPr>
            <w:tcW w:type="dxa" w:w="4320"/>
          </w:tcPr>
          <w:p>
            <w:r>
              <w:t>Оплата</w:t>
            </w:r>
          </w:p>
        </w:tc>
        <w:tc>
          <w:tcPr>
            <w:tcW w:type="dxa" w:w="4320"/>
          </w:tcPr>
          <w:p>
            <w:r>
              <w:t>Тариф, срок подписки, сумма, валюта, номер и статус заказа/платежа, сведения о возврате. Полный номер карты и CVV/CVC вводятся у платёжного провайдера и не запрашиваются в формах Ustaz Studio.</w:t>
            </w:r>
          </w:p>
        </w:tc>
      </w:tr>
      <w:tr>
        <w:tc>
          <w:tcPr>
            <w:tcW w:type="dxa" w:w="4320"/>
          </w:tcPr>
          <w:p>
            <w:r>
              <w:t>Техническая информация</w:t>
            </w:r>
          </w:p>
        </w:tc>
        <w:tc>
          <w:tcPr>
            <w:tcW w:type="dxa" w:w="4320"/>
          </w:tcPr>
          <w:p>
            <w:r>
              <w:t>IP-адрес, сведения о браузере и устройстве, время запросов, журналы ошибок и действий, показатели работы сервиса. Нужны для безопасности, диагностики и ограничения злоупотреблений.</w:t>
            </w:r>
          </w:p>
        </w:tc>
      </w:tr>
      <w:tr>
        <w:tc>
          <w:tcPr>
            <w:tcW w:type="dxa" w:w="4320"/>
          </w:tcPr>
          <w:p>
            <w:r>
              <w:t>Поддержка</w:t>
            </w:r>
          </w:p>
        </w:tc>
        <w:tc>
          <w:tcPr>
            <w:tcW w:type="dxa" w:w="4320"/>
          </w:tcPr>
          <w:p>
            <w:r>
              <w:t>Email, телефон и содержание обращения, добровольно приложенные файлы, история решения вопроса. Нужны для ответа и рассмотрения претензий.</w:t>
            </w:r>
          </w:p>
        </w:tc>
      </w:tr>
    </w:tbl>
    <w:p>
      <w:pPr>
        <w:pStyle w:val="Heading1"/>
      </w:pPr>
      <w:r>
        <w:t>3. Цели и сообщения пользователю</w:t>
      </w:r>
    </w:p>
    <w:p>
      <w:r>
        <w:t>3.1. Оператор использует сведения для учётной записи, предоставления доступа, генерации КМЖ, скачивания DOCX, личного архива, поддержки, учёта оплаты, возвратов и защиты сервиса.</w:t>
      </w:r>
    </w:p>
    <w:p>
      <w:r>
        <w:t>3.2. На email направляются служебные письма: подтверждение регистрации, восстановление доступа, подтверждение изменения email и сообщения по обращениям. Реклама требует отдельного добровольного согласия и не входит в обязательные согласия.</w:t>
      </w:r>
    </w:p>
    <w:p>
      <w:r>
        <w:t>3.3. В технической модели сохраняются роли и идентификаторы организаций, а также ранее полученные организационные сведения. Они не означают предоставления нового коллективного тарифа или доступа других пользователей к личному архиву. Исторические данные и обращения обрабатываются только в необходимых целях эксплуатации, исполнения прежних обязательств и рассмотрения запросов.</w:t>
      </w:r>
    </w:p>
    <w:p>
      <w:pPr>
        <w:pStyle w:val="Heading1"/>
      </w:pPr>
      <w:r>
        <w:t>4. Искусственный интеллект и содержание запросов</w:t>
      </w:r>
    </w:p>
    <w:p>
      <w:r>
        <w:t>4.1. Для генерации, работы с учебным контекстом и автоматической проверки материалов используется Google Gemini API. В Google передаются параметры учебной задачи, необходимый контекст, текст запроса и, для отдельных функций, содержание результата. Если пользователь включает персональные сведения в свободный текст, эти сведения могут попасть во внешний запрос.</w:t>
      </w:r>
    </w:p>
    <w:p>
      <w:r>
        <w:t>4.2. Не следует вводить ФИО, ИИН, контакты, оценки, медицинские сведения и другие персональные данные учеников. Для примеров используются условные обозначения без возможности установить ребёнка. Необходимо удалять из загружаемых и вставляемых материалов данные посторонних лиц и охраняемую тайну.</w:t>
      </w:r>
    </w:p>
    <w:p>
      <w:r>
        <w:t>4.3. Сервис использует платный Gemini API с подключённым биллингом Google. Согласно условиям платного API Google не использует запросы и ответы для улучшения своих продуктов; при этом допускается ограниченное журналирование для обеспечения безопасности и исполнения законных требований. Данные могут временно храниться или кэшироваться в странах размещения инфраструктуры Google и его подрядчиков. Применимые условия: https://ai.google.dev/gemini-api/terms. Это не означает отсутствие любой обработки или хранения у Google.</w:t>
      </w:r>
    </w:p>
    <w:p>
      <w:r>
        <w:t>4.4. Результаты ИИ могут содержать ошибки. Перед использованием педагог проверяет содержание; Оператор не использует результаты автоматической оценки как единственное основание решений, затрагивающих права пользователя.</w:t>
      </w:r>
    </w:p>
    <w:p>
      <w:pPr>
        <w:pStyle w:val="Heading1"/>
      </w:pPr>
      <w:r>
        <w:t>5. Получатели данных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Получатель / компонент</w:t>
            </w:r>
          </w:p>
        </w:tc>
        <w:tc>
          <w:tcPr>
            <w:tcW w:type="dxa" w:w="4320"/>
          </w:tcPr>
          <w:p>
            <w:r>
              <w:t>Объём и назначение</w:t>
            </w:r>
          </w:p>
        </w:tc>
      </w:tr>
      <w:tr>
        <w:tc>
          <w:tcPr>
            <w:tcW w:type="dxa" w:w="4320"/>
          </w:tcPr>
          <w:p>
            <w:r>
              <w:t>Freedom Pay и участвующие банки</w:t>
            </w:r>
          </w:p>
        </w:tc>
        <w:tc>
          <w:tcPr>
            <w:tcW w:type="dxa" w:w="4320"/>
          </w:tcPr>
          <w:p>
            <w:r>
              <w:t>ТОО «Freedom Pay» (Казахстан) и банки, участвующие в операции: сведения о заказе и платеже для оплаты и возврата. Данные карты вводятся у платёжного провайдера. Политика: https://freedompay.kz/largebusiness/privacy_policy. Конкретный банк и доступный способ определяются платёжной операцией.</w:t>
            </w:r>
          </w:p>
        </w:tc>
      </w:tr>
      <w:tr>
        <w:tc>
          <w:tcPr>
            <w:tcW w:type="dxa" w:w="4320"/>
          </w:tcPr>
          <w:p>
            <w:r>
              <w:t>Google Gemini API</w:t>
            </w:r>
          </w:p>
        </w:tc>
        <w:tc>
          <w:tcPr>
            <w:tcW w:type="dxa" w:w="4320"/>
          </w:tcPr>
          <w:p>
            <w:r>
              <w:t>Google и привлекаемые им обработчики: учебные запросы, контекст и результаты для генерации и проверки. Возможна обработка в США и других странах инфраструктуры Google. Условия и ограничения — раздел 4; https://ai.google.dev/gemini-api/terms.</w:t>
            </w:r>
          </w:p>
        </w:tc>
      </w:tr>
      <w:tr>
        <w:tc>
          <w:tcPr>
            <w:tcW w:type="dxa" w:w="4320"/>
          </w:tcPr>
          <w:p>
            <w:r>
              <w:t>Resend — Plus Five Five, Inc.</w:t>
            </w:r>
          </w:p>
        </w:tc>
        <w:tc>
          <w:tcPr>
            <w:tcW w:type="dxa" w:w="4320"/>
          </w:tcPr>
          <w:p>
            <w:r>
              <w:t>Email получателя, содержание служебного письма и сведения о доставке. Используется для подтверждения регистрации, восстановления доступа и иных служебных сообщений. Провайдер раскрывает обработку данных в США: https://resend.com/legal/privacy-policy.</w:t>
            </w:r>
          </w:p>
        </w:tc>
      </w:tr>
      <w:tr>
        <w:tc>
          <w:tcPr>
            <w:tcW w:type="dxa" w:w="4320"/>
          </w:tcPr>
          <w:p>
            <w:r>
              <w:t>Cloudflare, Inc. — DNS</w:t>
            </w:r>
          </w:p>
        </w:tc>
        <w:tc>
          <w:tcPr>
            <w:tcW w:type="dxa" w:w="4320"/>
          </w:tcPr>
          <w:p>
            <w:r>
              <w:t>Используется только для обслуживания DNS домена (режим DNS-only). Обрабатывает технические сведения DNS-запросов в пределах этого режима; содержимое запросов приложения не проходит через прокси Cloudflare. Cloudflare Tunnel не используется. Глобальная инфраструктура, включая США и Европейскую экономическую зону: https://www.cloudflare.com/privacypolicy/.</w:t>
            </w:r>
          </w:p>
        </w:tc>
      </w:tr>
      <w:tr>
        <w:tc>
          <w:tcPr>
            <w:tcW w:type="dxa" w:w="4320"/>
          </w:tcPr>
          <w:p>
            <w:r>
              <w:t>Google / Gmail — почта поддержки</w:t>
            </w:r>
          </w:p>
        </w:tc>
        <w:tc>
          <w:tcPr>
            <w:tcW w:type="dxa" w:w="4320"/>
          </w:tcPr>
          <w:p>
            <w:r>
              <w:t>Email, имя отправителя, текст обращения и вложения при переписке с abukawrld@gmail.com. Возможна обработка за пределами Казахстана в глобальной инфраструктуре Google. Политика: https://policies.google.com/privacy. Не направляйте данные учащихся, пароли и платёжные секреты.</w:t>
            </w:r>
          </w:p>
        </w:tc>
      </w:tr>
      <w:tr>
        <w:tc>
          <w:tcPr>
            <w:tcW w:type="dxa" w:w="4320"/>
          </w:tcPr>
          <w:p>
            <w:r>
              <w:t>Исторические организационные права</w:t>
            </w:r>
          </w:p>
        </w:tc>
        <w:tc>
          <w:tcPr>
            <w:tcW w:type="dxa" w:w="4320"/>
          </w:tcPr>
          <w:p>
            <w:r>
              <w:t>Данные и прежние права организаций сохраняются только в пределах действующих обязательств; новые права доступа к чужому личному архиву не предоставляются.</w:t>
            </w:r>
          </w:p>
        </w:tc>
      </w:tr>
      <w:tr>
        <w:tc>
          <w:tcPr>
            <w:tcW w:type="dxa" w:w="4320"/>
          </w:tcPr>
          <w:p>
            <w:r>
              <w:t>Уполномоченные работники Оператора</w:t>
            </w:r>
          </w:p>
        </w:tc>
        <w:tc>
          <w:tcPr>
            <w:tcW w:type="dxa" w:w="4320"/>
          </w:tcPr>
          <w:p>
            <w:r>
              <w:t>Доступ по служебной необходимости для эксплуатации и поддержки с соблюдением конфиденциальности. Привлечение новых внешних обработчиков, требующее изменения раскрытых условий, сопровождается обновлением политики и получением согласия в применимых случаях.</w:t>
            </w:r>
          </w:p>
        </w:tc>
      </w:tr>
      <w:tr>
        <w:tc>
          <w:tcPr>
            <w:tcW w:type="dxa" w:w="4320"/>
          </w:tcPr>
          <w:p>
            <w:r>
              <w:t>PrimeCloud — облачная инфраструктура</w:t>
            </w:r>
          </w:p>
        </w:tc>
        <w:tc>
          <w:tcPr>
            <w:tcW w:type="dxa" w:w="4320"/>
          </w:tcPr>
          <w:p>
            <w:r>
              <w:t>ТОО «Prime Source Innovation», Республика Казахстан: размещение основной базы, материалов и резервных копий, техническое обслуживание инфраструктуры в необходимом объёме. Используемый регион — Алматы, Казахстан. Политика поставщика: https://primecloud.kz/politica.</w:t>
            </w:r>
          </w:p>
        </w:tc>
      </w:tr>
      <w:tr>
        <w:tc>
          <w:tcPr>
            <w:tcW w:type="dxa" w:w="4320"/>
          </w:tcPr>
          <w:p>
            <w:r>
              <w:t>Supabase Auth и PostgreSQL</w:t>
            </w:r>
          </w:p>
        </w:tc>
        <w:tc>
          <w:tcPr>
            <w:tcW w:type="dxa" w:w="4320"/>
          </w:tcPr>
          <w:p>
            <w:r>
              <w:t>Компоненты аутентификации и базы данных размещены на инфраструктуре Оператора. Обрабатывают учётную запись, сессии, профиль, согласия, заказы и документы. Использование компонентов Supabase само по себе не означает размещение основной базы в зарубежном Supabase Cloud.</w:t>
            </w:r>
          </w:p>
        </w:tc>
      </w:tr>
    </w:tbl>
    <w:p>
      <w:pPr>
        <w:pStyle w:val="Heading1"/>
      </w:pPr>
      <w:r>
        <w:t>6. Хранение и передача за пределы Казахстана</w:t>
      </w:r>
    </w:p>
    <w:p>
      <w:r>
        <w:t>6.1. Основная база данных, материалы сервиса и их резервные копии размещаются в облачной инфраструктуре PrimeCloud в городе Алматы, Республика Казахстан. Оператор сервиса Ustaz Studio — ТОО «Хастлерс»; поставщик инфраструктуры указан в разделе 5. Передача отдельных сведений внешним сервисам для выполнения их функций описана отдельно в пункте 6.2 и не меняет указанное место размещения основной базы и резервных копий.</w:t>
      </w:r>
    </w:p>
    <w:p>
      <w:r>
        <w:t>6.2. Размещение основной базы в Казахстане не исключает отдельных трансграничных передач при работе внешних сервисов: Google Gemini, почты Resend, Google/Gmail и DNS Cloudflare. Получатели и назначение указаны в разделе 5. Передача выполняется при наличии предусмотренного законодательством основания и необходимого согласия. Изменение состава получателей или целей обработки предварительно отражается в политике и, когда требуется, в новом согласии.</w:t>
      </w:r>
    </w:p>
    <w:p>
      <w:r>
        <w:t>6.3. Данные кабинета и архив хранятся в течение использования кабинета и до достижения целей обработки либо рассмотрения запроса на удаление. Ранее полученные организационные обращения используются до завершения переговоров и исполнения заключённого договора; при прекращении переговоров и отсутствии иного законного основания удаляются. Переписка поддержки сохраняется на период решения вопроса и связанных с ним требований. Технические журналы используются только на срок, необходимый для диагностики и безопасности. Данные, утратившие необходимую цель обработки и законное основание хранения, подлежат удалению или обезличиванию.</w:t>
      </w:r>
    </w:p>
    <w:p>
      <w:r>
        <w:t>6.4. Для договорных, платёжных и иных учётных документов применяются установленные законодательством сроки хранения. Удаление из действующей базы учитывается при восстановлении из резервной копии, чтобы удалённые сведения не возвращались в обычную обработку. Доступ к резервным копиям ограничен задачами восстановления и безопасности; они удаляются по установленному регламенту ротации.</w:t>
      </w:r>
    </w:p>
    <w:p>
      <w:pPr>
        <w:pStyle w:val="Heading1"/>
      </w:pPr>
      <w:r>
        <w:t>7. Cookies, защита и права пользователя</w:t>
      </w:r>
    </w:p>
    <w:p>
      <w:r>
        <w:t>7.1. Сервис использует cookies для входа и поддержания сессии, а также локальное хранилище браузера для языка интерфейса и пользовательских настроек. Ограничение этих механизмов может нарушить вход или сохранение настроек. Рекламное отслеживание не включается в согласие на работу учётной записи.</w:t>
      </w:r>
    </w:p>
    <w:p>
      <w:r>
        <w:t>7.2. Оператор ограничивает доступ по ролям, применяет защищённые соединения, проверку сессий, журналирование и резервное копирование. Пользователь отвечает за сохранность своих средств входа; это не освобождает Оператора от ответственности за собственные нарушения.</w:t>
      </w:r>
    </w:p>
    <w:p>
      <w:r>
        <w:t>7.3. По адресу abukawrld@gmail.com можно запросить сведения об обработке, исправление, блокирование или удаление данных, а также отозвать согласие. Укажите email кабинета и суть запроса. Для защиты данных Оператор может попросить подтвердить владение аккаунтом.</w:t>
      </w:r>
    </w:p>
    <w:p>
      <w:r>
        <w:t>7.4. После отзыва согласия обработка прекращается в установленные законом сроки либо направляется обоснование законного продолжения. Если необходимые для сервиса сведения больше нельзя обрабатывать, соответствующие функции прекращаются; вопрос возврата решается по оферте. Пользователь вправе обратиться в уполномоченный орган или суд.</w:t>
      </w:r>
    </w:p>
    <w:p>
      <w:r>
        <w:t>7.5. Изменённая политика публикуется на сайте с датой редакции. О существенных изменениях Оператор сообщает в интерфейсе или на email. Для новых целей и получателей при необходимости запрашивается новое согласие; публикация новой редакции сама по себе его не заменяет.</w:t>
      </w:r>
    </w:p>
    <w:p>
      <w:pPr>
        <w:pStyle w:val="Heading1"/>
      </w:pPr>
      <w:r>
        <w:t>Адрес, реквизиты и контакты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Реквизит</w:t>
            </w:r>
          </w:p>
        </w:tc>
        <w:tc>
          <w:tcPr>
            <w:tcW w:type="dxa" w:w="4320"/>
          </w:tcPr>
          <w:p>
            <w:r>
              <w:t>Значение</w:t>
            </w:r>
          </w:p>
        </w:tc>
      </w:tr>
      <w:tr>
        <w:tc>
          <w:tcPr>
            <w:tcW w:type="dxa" w:w="4320"/>
          </w:tcPr>
          <w:p>
            <w:r>
              <w:t>Наименование</w:t>
            </w:r>
          </w:p>
        </w:tc>
        <w:tc>
          <w:tcPr>
            <w:tcW w:type="dxa" w:w="4320"/>
          </w:tcPr>
          <w:p>
            <w:r>
              <w:t>Товарищество с ограниченной ответственностью «Хастлерс»</w:t>
            </w:r>
          </w:p>
        </w:tc>
      </w:tr>
      <w:tr>
        <w:tc>
          <w:tcPr>
            <w:tcW w:type="dxa" w:w="4320"/>
          </w:tcPr>
          <w:p>
            <w:r>
              <w:t>БИН</w:t>
            </w:r>
          </w:p>
        </w:tc>
        <w:tc>
          <w:tcPr>
            <w:tcW w:type="dxa" w:w="4320"/>
          </w:tcPr>
          <w:p>
            <w:r>
              <w:t>260740029223</w:t>
            </w:r>
          </w:p>
        </w:tc>
      </w:tr>
      <w:tr>
        <w:tc>
          <w:tcPr>
            <w:tcW w:type="dxa" w:w="4320"/>
          </w:tcPr>
          <w:p>
            <w:r>
              <w:t>Юридический адрес</w:t>
            </w:r>
          </w:p>
        </w:tc>
        <w:tc>
          <w:tcPr>
            <w:tcW w:type="dxa" w:w="4320"/>
          </w:tcPr>
          <w:p>
            <w:r>
              <w:t>010000, Республика Казахстан, г. Астана, район Нұра, улица Чингиз Айтматов (Шыңғыс Айтматов), дом 36, подъезд 19, квартира 170</w:t>
            </w:r>
          </w:p>
        </w:tc>
      </w:tr>
      <w:tr>
        <w:tc>
          <w:tcPr>
            <w:tcW w:type="dxa" w:w="4320"/>
          </w:tcPr>
          <w:p>
            <w:r>
              <w:t>ИИК (KZT)</w:t>
            </w:r>
          </w:p>
        </w:tc>
        <w:tc>
          <w:tcPr>
            <w:tcW w:type="dxa" w:w="4320"/>
          </w:tcPr>
          <w:p>
            <w:r>
              <w:t>KZ61551Z600008051443</w:t>
            </w:r>
          </w:p>
        </w:tc>
      </w:tr>
      <w:tr>
        <w:tc>
          <w:tcPr>
            <w:tcW w:type="dxa" w:w="4320"/>
          </w:tcPr>
          <w:p>
            <w:r>
              <w:t>Банк</w:t>
            </w:r>
          </w:p>
        </w:tc>
        <w:tc>
          <w:tcPr>
            <w:tcW w:type="dxa" w:w="4320"/>
          </w:tcPr>
          <w:p>
            <w:r>
              <w:t>АО «Фридом Банк Казахстан»</w:t>
            </w:r>
          </w:p>
        </w:tc>
      </w:tr>
      <w:tr>
        <w:tc>
          <w:tcPr>
            <w:tcW w:type="dxa" w:w="4320"/>
          </w:tcPr>
          <w:p>
            <w:r>
              <w:t>БИК</w:t>
            </w:r>
          </w:p>
        </w:tc>
        <w:tc>
          <w:tcPr>
            <w:tcW w:type="dxa" w:w="4320"/>
          </w:tcPr>
          <w:p>
            <w:r>
              <w:t>KSNVKZKA</w:t>
            </w:r>
          </w:p>
        </w:tc>
      </w:tr>
      <w:tr>
        <w:tc>
          <w:tcPr>
            <w:tcW w:type="dxa" w:w="4320"/>
          </w:tcPr>
          <w:p>
            <w:r>
              <w:t>Сайт</w:t>
            </w:r>
          </w:p>
        </w:tc>
        <w:tc>
          <w:tcPr>
            <w:tcW w:type="dxa" w:w="4320"/>
          </w:tcPr>
          <w:p>
            <w:r>
              <w:t>https://ustaz.studio/</w:t>
            </w:r>
          </w:p>
        </w:tc>
      </w:tr>
      <w:tr>
        <w:tc>
          <w:tcPr>
            <w:tcW w:type="dxa" w:w="4320"/>
          </w:tcPr>
          <w:p>
            <w:r>
              <w:t>Электронная почта</w:t>
            </w:r>
          </w:p>
        </w:tc>
        <w:tc>
          <w:tcPr>
            <w:tcW w:type="dxa" w:w="4320"/>
          </w:tcPr>
          <w:p>
            <w:r>
              <w:t>abukawrld@gmail.com</w:t>
            </w:r>
          </w:p>
        </w:tc>
      </w:tr>
      <w:tr>
        <w:tc>
          <w:tcPr>
            <w:tcW w:type="dxa" w:w="4320"/>
          </w:tcPr>
          <w:p>
            <w:r>
              <w:t>Телефон поддержки</w:t>
            </w:r>
          </w:p>
        </w:tc>
        <w:tc>
          <w:tcPr>
            <w:tcW w:type="dxa" w:w="4320"/>
          </w:tcPr>
          <w:p>
            <w:r>
              <w:t>+7 705 633 42 63</w:t>
            </w:r>
          </w:p>
        </w:tc>
      </w:tr>
    </w:tbl>
    <w:p>
      <w:pPr>
        <w:pStyle w:val="Heading1"/>
      </w:pPr>
      <w:r>
        <w:t>Приложение. Согласие пользователя</w:t>
      </w:r>
    </w:p>
    <w:p>
      <w:r>
        <w:t>Настоящий текст подтверждается отдельно при регистрации или перед использованием соответствующих функций и связывается с учётной записью. Согласие на трансграничную передачу подтверждается отдельной отметкой. Обе отметки по умолчанию отсутствуют.</w:t>
      </w:r>
    </w:p>
    <w:p>
      <w:r>
        <w:t>Я, пользователь, чьи имя и контактные сведения указаны в подтверждаемой мной форме, даю ТОО «Хастлерс», БИН 260740029223, согласие на обработку данных из раздела 2 Политики для регистрации, доступа к Ustaz Studio, создания КМЖ, скачивания DOCX, личного архива, оплаты, возвратов и поддержки.</w:t>
      </w:r>
    </w:p>
    <w:p>
      <w:r>
        <w:t>Разрешаю необходимые действия с данными: сбор, запись, хранение, использование, уточнение, предоставление согласованным получателям, блокирование и удаление. Получатели и цели приведены в разделе 5 Политики. Публикацию моих персональных данных в общедоступных источниках настоящее согласие не разрешает.</w:t>
      </w:r>
    </w:p>
    <w:p>
      <w:r>
        <w:t>Согласие действует в период использования соответствующих функций и хранения данных по разделу 6 Политики, до достижения целей или допустимого отзыва. Отзыв направляется на abukawrld@gmail.com. Обязательное хранение по закону осуществляется независимо от отзыва в соответствующем объёме.</w:t>
      </w:r>
    </w:p>
    <w:p>
      <w:r>
        <w:t>Отдельное согласие на трансграничную передачу: я ознакомлен с разделами 4–6 Политики, перечнем внешних сервисов Google Gemini, Resend, Google/Gmail и DNS Cloudflare, назначением и составом передаваемых данных. Согласен на необходимую для выбранных функций передачу данных указанным получателям за пределы Республики Казахстан, включая США и другие территории обработки, раскрытые в разделе 5. Это согласие не разрешает публичное распространение моих данных или передачу для посторонних целей.</w:t>
      </w:r>
    </w:p>
    <w:p>
      <w:r>
        <w:t>Согласие не включает рекламную рассылку. Отдельные подтверждения связываются с учётной записью, типом согласия, временем сервера, редакцией и контрольной суммой текста. При регистрации до создания аккаунта фиксируется отдельная сессия согласия, затем связываемая с аккаунтом. Просмотр страницы не является согласием. Имя из формы может сохраняться в записи согласия; пароль, IP-адрес и реквизиты карты в неё не включаются.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Редакция • 29.10.2026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USTAZ STUDIO / ТОО «Хастлерс»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