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Порядок оплаты, предоставления доступа и возврата</w:t>
      </w:r>
    </w:p>
    <w:p>
      <w:r>
        <w:t>Ustaz Studio • ТОО «Хастлерс»</w:t>
      </w:r>
    </w:p>
    <w:p>
      <w:r>
        <w:t>Редакция от 29.10.2026. Применяется с момента размещения на https://ustaz.studio/ к отношениям и заказам, оформленным после размещения этой редакции; ранее приобретённые права сохраняются.</w:t>
      </w:r>
    </w:p>
    <w:p>
      <w:pPr>
        <w:pStyle w:val="Heading1"/>
      </w:pPr>
      <w:r>
        <w:t>1. За что производится оплата</w:t>
      </w:r>
    </w:p>
    <w:p>
      <w:r>
        <w:t>1.1. ТОО «Хастлерс», БИН 260740029223, предоставляет через https://ustaz.studio/ индивидуальный доступ к созданию КМЖ с помощью ИИ, скачиванию DOCX и личному архиву. Доставка материальных товаров отсутствует.</w:t>
      </w:r>
    </w:p>
    <w:p>
      <w:r>
        <w:t>1.2. Тариф: 7 000 (семь тысяч) тенге за 30 последовательных календарных дней с момента активации; включены 30 успешно созданных и надёжно сохранённых КМЖ. Повторное скачивание сохранённого документа не расходует квоту.</w:t>
      </w:r>
    </w:p>
    <w:p>
      <w:r>
        <w:t>1.3. Предоставляется один индивидуальный тариф. Неограниченная генерация и коллективные подписки не предлагаются.</w:t>
      </w:r>
    </w:p>
    <w:p>
      <w:r>
        <w:t>1.4. Цена 7 000 тенге является окончательной. Применимый налоговый режим указывается в расчётных документах; налоговая льгота не заявляется без подтверждения её применимости. Цена уже оплаченного заказа не увеличивается задним числом.</w:t>
      </w:r>
    </w:p>
    <w:p>
      <w:r>
        <w:t>1.5. Продление только вручную отдельным заказом. Автоматических повторных списаний и автопродления нет. Новую оплату можно начать после окончания действующего периода; досрочное продление не принимается и не отменяет оставшиеся права.</w:t>
      </w:r>
    </w:p>
    <w:p>
      <w:pPr>
        <w:pStyle w:val="Heading1"/>
      </w:pPr>
      <w:r>
        <w:t>2. Оплата банковской картой через Freedom Pay</w:t>
      </w:r>
    </w:p>
    <w:p>
      <w:r>
        <w:t>2.1. Пользователь входит в кабинет, выбирает тариф, проверяет сумму и период, знакомится с офертой и переходит на защищённую страницу Freedom Pay. К оплате принимаются Visa и Mastercard при поддержке конкретной карты банком и платёжным провайдером; доступные способы отображаются на платёжной странице.</w:t>
      </w:r>
    </w:p>
    <w:p>
      <w:r>
        <w:t>2.2. Данные карты вводятся только в платёжной форме провайдера. Банк может запросить подтверждение 3-D Secure в своём приложении или кодом. Не сообщайте эти коды и CVV/CVC сотрудникам сервиса.</w:t>
      </w:r>
    </w:p>
    <w:p>
      <w:r>
        <w:t>2.3. Ustaz Studio использует ответ провайдера о статусе операции. Возврат браузера на сайт сам по себе не подтверждает оплату. Платёжные сведения передаются по защищённому соединению; формы Ustaz Studio не предназначены для ввода или хранения полного номера карты и CVV/CVC.</w:t>
      </w:r>
    </w:p>
    <w:p>
      <w:r>
        <w:t>2.4. Платёж может быть отклонён из-за недостатка средств, ограничений интернет-покупок, неверных данных, истечения срока карты, банковских лимитов или проверки безопасности. Причину отказа и возможность повторения уточняют в банке, выпустившем карту.</w:t>
      </w:r>
    </w:p>
    <w:p>
      <w:r>
        <w:t>2.5. Если деньги списаны, но доступ не открыт, не повторяйте оплату до проверки статуса: сообщите в поддержку email кабинета, время, сумму и номер операции. Платёжный документ предоставляется по применимым правилам расчётов; при необходимости запросите его через поддержку.</w:t>
      </w:r>
    </w:p>
    <w:p>
      <w:pPr>
        <w:pStyle w:val="Heading1"/>
      </w:pPr>
      <w:r>
        <w:t>3. Квота и повторные попытки</w:t>
      </w:r>
    </w:p>
    <w:p>
      <w:r>
        <w:t>3.1. Один успешно сохранённый КМЖ расходует одну единицу квоты. На время задания единица резервируется транзакционно. Известный сбой без сохранения освобождает резерв; неопределённый исход остаётся зарезервированным до проверки. Повторная отправка того же задания не создаёт повторную генерацию.</w:t>
      </w:r>
    </w:p>
    <w:p>
      <w:r>
        <w:t>3.2. Одновременно выполняется не более одного задания на аккаунт. На период допускается не более 60 попыток, включая неудачные, и не более 10 обращений к AI-провайдерам на одно задание. Ограничения защищают от бесконечных повторов и не увеличивают квоту 30 сохранённых КМЖ.</w:t>
      </w:r>
    </w:p>
    <w:p>
      <w:r>
        <w:t>3.3. При исчерпании общей AI-ёмкости новые покупки и задания приостанавливаются с сообщением пользователю. Коммерческий доступ не продаётся при заведомой невозможности предоставить оплаченный объём. В тестовом Sandbox действуют отдельно показанные общие ограничения пилота; тестовая оплата не является реальным доходом.</w:t>
      </w:r>
    </w:p>
    <w:p>
      <w:pPr>
        <w:pStyle w:val="Heading1"/>
      </w:pPr>
      <w:r>
        <w:t>4. Электронное предоставление услуги</w:t>
      </w:r>
    </w:p>
    <w:p>
      <w:r>
        <w:t>4.1. Доступ активируется только после серверной проверки успешной оплаты, как правило, в течение 15 минут, но не позднее 1 рабочего дня. Период длится 30 последовательных календарных дней от фактической активации. Возврат браузера с платёжной страницы не подтверждает оплату.</w:t>
      </w:r>
    </w:p>
    <w:p>
      <w:r>
        <w:t>4.2. По окончании периода новые генерации прекращаются; ранее сохранённые документы остаются доступны в личном архиве и для скачивания DOCX в соответствии с политикой хранения. Новая оплата не удаляет прежние документы.</w:t>
      </w:r>
    </w:p>
    <w:p>
      <w:r>
        <w:t>4.3. Для работы необходимы интернет, актуальный браузер и действующая учётная запись. При задержке или сбое обращайтесь на abukawrld@gmail.com либо по телефону +7 705 633 42 63. Сообщения по email принимаются круглосуточно, ответы поддержки — по рабочим дням с 09:00 до 18:00 по времени Казахстана (UTC+5).</w:t>
      </w:r>
    </w:p>
    <w:p>
      <w:r>
        <w:t>4.4. При непрерывной недоступности оплаченных основных функций по вине Исполнителя более 24 часов пользователь вправе выбрать продление на время недоступности или возврат за непредоставленную часть. Иные обязательные права при недостатках услуги сохраняются.</w:t>
      </w:r>
    </w:p>
    <w:p>
      <w:pPr>
        <w:pStyle w:val="Heading1"/>
      </w:pPr>
      <w:r>
        <w:t>5. Прекращение доступа и возврат оплаты</w:t>
      </w:r>
    </w:p>
    <w:p>
      <w:r>
        <w:t>5.1. Заказчик может обратиться за прекращением доступа и возвратом по адресу abukawrld@gmail.com. Отключение личного кабинета или истечение подписки сами по себе не заменяют заявление о возврате.</w:t>
      </w:r>
    </w:p>
    <w:p>
      <w:r>
        <w:t>5.2. До активации оплаченного периода возвращается вся сумма. Дополнительно для индивидуального тарифа действует добровольная гарантия: в течение 7 календарных дней после активации возвращается вся сумма, если пользователь не запускал успешно завершённую генерацию учебных материалов в этом периоде. Эта гарантия не ограничивает предусмотренные законом права.</w:t>
      </w:r>
    </w:p>
    <w:p>
      <w:r>
        <w:t>5.3. При обычном добровольном отказе после активации возвращается оплата за оставшуюся часть периода. Для индивидуального тарифа: сумма возврата = уплаченная сумма × оставшаяся длительность доступа / полная оплаченная длительность; расчёт ведётся с точностью до часа и округляется до тиына. Отсчёт прекращается в момент получения заявления. Дополнительные штрафы и комиссии за отказ не удерживаются. Если обязательные нормы дают Заказчику право на большую сумму, применяется больший размер возврата.</w:t>
      </w:r>
    </w:p>
    <w:p>
      <w:r>
        <w:t>5.4. При двойном списании или ошибочной оплате возвращается излишне полученная сумма. При непредоставлении доступа по вине Исполнителя возвращается оплата за непредоставленный период; если услуга вообще не была предоставлена, возвращается полная сумма. Претензии к недостаткам услуги рассматриваются отдельно, без подмены их обычным добровольным отказом.</w:t>
      </w:r>
    </w:p>
    <w:p>
      <w:r>
        <w:t>5.5. Исчерпание квоты или техническая блокировка не отменяет предусмотренные законом права на рассмотрение требований, связанных с недостатками услуги и непредоставленным доступом.</w:t>
      </w:r>
    </w:p>
    <w:p>
      <w:r>
        <w:t>5.6. В заявлении достаточно указать имя или наименование плательщика, email учётной записи, дату, сумму и номер платежа (если известен), причину обращения и желаемый способ связи. Чек прикладывается при наличии; его отсутствие не исключает проверку платежа по другим сведениям. Для подтверждения личности используются соразмерные способы; копия удостоверения личности по умолчанию не запрашивается. Нельзя отправлять полный номер карты, CVV/CVC, пароль или коды подтверждения.</w:t>
      </w:r>
    </w:p>
    <w:p>
      <w:r>
        <w:t>5.7. Мотивированный ответ направляется в течение 10 календарных дней со дня получения обращения. Исполнитель передаёт распоряжение на согласованный возврат платёжному провайдеру не позднее 5 рабочих дней после принятия решения, с соблюдением более коротких обязательных сроков, если они применимы. Эти сроки не продлевают сроки, установленные законом.</w:t>
      </w:r>
    </w:p>
    <w:p>
      <w:r>
        <w:t>5.8. Карточный платёж возвращается безналично на карту, с которой произведена оплата; наличная выдача по такому платежу не производится. Платёж по счёту возвращается на счёт плательщика. При закрытой карте или счёте порядок согласуется с банком и платёжным провайдером. Срок отражения возврата зависит от банка; по запросу Исполнитель сообщает идентификатор и статус операции и помогает разыскать возврат.</w:t>
      </w:r>
    </w:p>
    <w:p>
      <w:pPr>
        <w:pStyle w:val="Heading1"/>
      </w:pPr>
      <w:r>
        <w:t>6. Соотношение с офертой</w:t>
      </w:r>
    </w:p>
    <w:p>
      <w:r>
        <w:t>6.1. Настоящие правила применяются совместно с опубликованной офертой Ustaz Studio. Для конкретного заказа сохраняются цена, срок и условия, действовавшие при его оплате. Новая редакция не уменьшает уже приобретённые права.</w:t>
      </w:r>
    </w:p>
    <w:p>
      <w:r>
        <w:t>6.2. Отправка претензии в поддержку не лишает Заказчика права обратиться в уполномоченный орган, организацию защиты прав потребителей или компетентный суд.</w:t>
      </w:r>
    </w:p>
    <w:p>
      <w:pPr>
        <w:pStyle w:val="Heading1"/>
      </w:pPr>
      <w:r>
        <w:t>Адрес, реквизиты и контакты</w:t>
      </w:r>
    </w:p>
    <w:tbl>
      <w:tblPr>
        <w:tblStyle w:val="TableGrid"/>
        <w:tblW w:type="auto" w:w="0"/>
        <w:tblLook w:firstColumn="1" w:firstRow="1" w:lastColumn="0" w:lastRow="0" w:noHBand="0" w:noVBand="1" w:val="04A0"/>
      </w:tblPr>
      <w:tblGrid>
        <w:gridCol w:w="4320"/>
        <w:gridCol w:w="4320"/>
      </w:tblGrid>
      <w:tr>
        <w:tc>
          <w:tcPr>
            <w:tcW w:type="dxa" w:w="4320"/>
          </w:tcPr>
          <w:p>
            <w:r>
              <w:t>Реквизит</w:t>
            </w:r>
          </w:p>
        </w:tc>
        <w:tc>
          <w:tcPr>
            <w:tcW w:type="dxa" w:w="4320"/>
          </w:tcPr>
          <w:p>
            <w:r>
              <w:t>Значение</w:t>
            </w:r>
          </w:p>
        </w:tc>
      </w:tr>
      <w:tr>
        <w:tc>
          <w:tcPr>
            <w:tcW w:type="dxa" w:w="4320"/>
          </w:tcPr>
          <w:p>
            <w:r>
              <w:t>Наименование</w:t>
            </w:r>
          </w:p>
        </w:tc>
        <w:tc>
          <w:tcPr>
            <w:tcW w:type="dxa" w:w="4320"/>
          </w:tcPr>
          <w:p>
            <w:r>
              <w:t>Товарищество с ограниченной ответственностью «Хастлерс»</w:t>
            </w:r>
          </w:p>
        </w:tc>
      </w:tr>
      <w:tr>
        <w:tc>
          <w:tcPr>
            <w:tcW w:type="dxa" w:w="4320"/>
          </w:tcPr>
          <w:p>
            <w:r>
              <w:t>БИН</w:t>
            </w:r>
          </w:p>
        </w:tc>
        <w:tc>
          <w:tcPr>
            <w:tcW w:type="dxa" w:w="4320"/>
          </w:tcPr>
          <w:p>
            <w:r>
              <w:t>260740029223</w:t>
            </w:r>
          </w:p>
        </w:tc>
      </w:tr>
      <w:tr>
        <w:tc>
          <w:tcPr>
            <w:tcW w:type="dxa" w:w="4320"/>
          </w:tcPr>
          <w:p>
            <w:r>
              <w:t>Юридический адрес</w:t>
            </w:r>
          </w:p>
        </w:tc>
        <w:tc>
          <w:tcPr>
            <w:tcW w:type="dxa" w:w="4320"/>
          </w:tcPr>
          <w:p>
            <w:r>
              <w:t>010000, Республика Казахстан, г. Астана, район Нұра, улица Чингиз Айтматов (Шыңғыс Айтматов), дом 36, подъезд 19, квартира 170</w:t>
            </w:r>
          </w:p>
        </w:tc>
      </w:tr>
      <w:tr>
        <w:tc>
          <w:tcPr>
            <w:tcW w:type="dxa" w:w="4320"/>
          </w:tcPr>
          <w:p>
            <w:r>
              <w:t>ИИК (KZT)</w:t>
            </w:r>
          </w:p>
        </w:tc>
        <w:tc>
          <w:tcPr>
            <w:tcW w:type="dxa" w:w="4320"/>
          </w:tcPr>
          <w:p>
            <w:r>
              <w:t>KZ61551Z600008051443</w:t>
            </w:r>
          </w:p>
        </w:tc>
      </w:tr>
      <w:tr>
        <w:tc>
          <w:tcPr>
            <w:tcW w:type="dxa" w:w="4320"/>
          </w:tcPr>
          <w:p>
            <w:r>
              <w:t>Банк</w:t>
            </w:r>
          </w:p>
        </w:tc>
        <w:tc>
          <w:tcPr>
            <w:tcW w:type="dxa" w:w="4320"/>
          </w:tcPr>
          <w:p>
            <w:r>
              <w:t>АО «Фридом Банк Казахстан»</w:t>
            </w:r>
          </w:p>
        </w:tc>
      </w:tr>
      <w:tr>
        <w:tc>
          <w:tcPr>
            <w:tcW w:type="dxa" w:w="4320"/>
          </w:tcPr>
          <w:p>
            <w:r>
              <w:t>БИК</w:t>
            </w:r>
          </w:p>
        </w:tc>
        <w:tc>
          <w:tcPr>
            <w:tcW w:type="dxa" w:w="4320"/>
          </w:tcPr>
          <w:p>
            <w:r>
              <w:t>KSNVKZKA</w:t>
            </w:r>
          </w:p>
        </w:tc>
      </w:tr>
      <w:tr>
        <w:tc>
          <w:tcPr>
            <w:tcW w:type="dxa" w:w="4320"/>
          </w:tcPr>
          <w:p>
            <w:r>
              <w:t>Сайт</w:t>
            </w:r>
          </w:p>
        </w:tc>
        <w:tc>
          <w:tcPr>
            <w:tcW w:type="dxa" w:w="4320"/>
          </w:tcPr>
          <w:p>
            <w:r>
              <w:t>https://ustaz.studio/</w:t>
            </w:r>
          </w:p>
        </w:tc>
      </w:tr>
      <w:tr>
        <w:tc>
          <w:tcPr>
            <w:tcW w:type="dxa" w:w="4320"/>
          </w:tcPr>
          <w:p>
            <w:r>
              <w:t>Электронная почта</w:t>
            </w:r>
          </w:p>
        </w:tc>
        <w:tc>
          <w:tcPr>
            <w:tcW w:type="dxa" w:w="4320"/>
          </w:tcPr>
          <w:p>
            <w:r>
              <w:t>abukawrld@gmail.com</w:t>
            </w:r>
          </w:p>
        </w:tc>
      </w:tr>
      <w:tr>
        <w:tc>
          <w:tcPr>
            <w:tcW w:type="dxa" w:w="4320"/>
          </w:tcPr>
          <w:p>
            <w:r>
              <w:t>Телефон поддержки</w:t>
            </w:r>
          </w:p>
        </w:tc>
        <w:tc>
          <w:tcPr>
            <w:tcW w:type="dxa" w:w="4320"/>
          </w:tcPr>
          <w:p>
            <w:r>
              <w:t>+7 705 633 42 63</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Редакция • 29.10.2026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USTAZ STUDIO / ТОО «Хастлерс»</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