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Публичная оферта на предоставление доступа к Ustaz Studio</w:t>
      </w:r>
    </w:p>
    <w:p>
      <w:r>
        <w:t>Индивидуальный доступ к созданию КМЖ для совершеннолетних педагогов Республики Казахстан</w:t>
      </w:r>
    </w:p>
    <w:p>
      <w:r>
        <w:t>Редакция от 29.10.2026. Применяется с момента размещения на https://ustaz.studio/ к отношениям и заказам, оформленным после размещения этой редакции; ранее приобретённые права сохраняются.</w:t>
      </w:r>
    </w:p>
    <w:p>
      <w:pPr>
        <w:pStyle w:val="Heading1"/>
      </w:pPr>
      <w:r>
        <w:t>1. Общие положения</w:t>
      </w:r>
    </w:p>
    <w:p>
      <w:r>
        <w:t>1.1. Товарищество с ограниченной ответственностью «Хастлерс», БИН 260740029223 (Исполнитель), предлагает совершеннолетним дееспособным пользователям в Республике Казахстан (Заказчик) индивидуальный доступ к Ustaz Studio на условиях настоящей оферты.</w:t>
      </w:r>
    </w:p>
    <w:p>
      <w:r>
        <w:t>1.2. Сервис: https://ustaz.studio/. Оферта применяется совместно с правилами оплаты и политикой конфиденциальности. Условия конкретного оплаченного периода сохраняются; новая редакция не уменьшает ранее приобретённые права.</w:t>
      </w:r>
    </w:p>
    <w:p>
      <w:r>
        <w:t>1.3. Акцепт платной оферты — успешная реальная оплата выбранного заказа после ознакомления с условиями. Регистрация, просмотр сайта и тестовая Sandbox-операция не являются оплатой коммерческой услуги.</w:t>
      </w:r>
    </w:p>
    <w:p>
      <w:r>
        <w:t>1.4. В Sandbox платёж является имитацией без реального списания. Интерфейс явно обозначает тестовый режим; он не выдаётся за боевой эквайринг. Ранее выданные тестовые права сохраняют исходные условия.</w:t>
      </w:r>
    </w:p>
    <w:p>
      <w:pPr>
        <w:pStyle w:val="Heading1"/>
      </w:pPr>
      <w:r>
        <w:t>2. Предмет и возможности сервиса</w:t>
      </w:r>
    </w:p>
    <w:p>
      <w:r>
        <w:t>2.1. Исполнитель предоставляет индивидуальный доступ через браузер к созданию КМЖ с помощью ИИ, скачиванию DOCX и личному архиву. Право пользования предоставляется для педагогической деятельности; исходный код и платформа не передаются.</w:t>
      </w:r>
    </w:p>
    <w:p>
      <w:r>
        <w:t>2.2. Тариф включает 30 успешно созданных и надёжно сохранённых КМЖ за 30 последовательных календарных дней. Поддерживаются русский и казахский языки в пределах доступного каталога учебников, предметов и классов. Результат — редактируемый AI-черновик, требующий проверки педагогом; формат скачивания — DOCX.</w:t>
      </w:r>
    </w:p>
    <w:p>
      <w:r>
        <w:t>2.3. Сервис использует искусственный интеллект, включая Google Gemini, и учебный контекст. Созданный материал может потребовать правок и проверки фактов. Автоматический анализ не заменяет методическую проверку педагогом и не означает официального одобрения государственными органами.</w:t>
      </w:r>
    </w:p>
    <w:p>
      <w:r>
        <w:t>2.4. Квота расходуется только после успешного сохранения документа. Одно задание выполняется на аккаунт одновременно, не более 10 обращений к AI-провайдерам на задание и 60 попыток за период. Известный сбой без сохранения освобождает резерв; неопределённый исход требует проверки. Повторное скачивание бесплатно в пределах уже предоставленного документа. Неограниченная генерация не предлагается.</w:t>
      </w:r>
    </w:p>
    <w:p>
      <w:r>
        <w:t>2.5. Сервис не осуществляет обучение учащихся, не выдаёт документы об образовании и не продаёт экземпляры учебников. Доставка материальных товаров отсутствует.</w:t>
      </w:r>
    </w:p>
    <w:p>
      <w:pPr>
        <w:pStyle w:val="Heading1"/>
      </w:pPr>
      <w:r>
        <w:t>3. Регистрация и оформление заказа</w:t>
      </w:r>
    </w:p>
    <w:p>
      <w:r>
        <w:t>3.1. Для регистрации предоставляются имя, email и данные входа; email подтверждается. ИИН, адрес доставки и платёжные реквизиты карты в форме регистрации не запрашиваются.</w:t>
      </w:r>
    </w:p>
    <w:p>
      <w:r>
        <w:t>3.2. Заказчик предоставляет достоверные сведения и не передаёт учётную запись посторонним. Личный архив не является общедоступным.</w:t>
      </w:r>
    </w:p>
    <w:p>
      <w:r>
        <w:t>3.3. Перед оплатой Заказчику сообщаются название тарифа, цена в тенге, срок, доступные функции, действующие лимиты и правила возврата. Исполнитель сохраняет сведения об оплаченном заказе и применимой редакции условий. Копию условий можно запросить на email поддержки.</w:t>
      </w:r>
    </w:p>
    <w:p>
      <w:r>
        <w:t>3.4. При регистрации или перед соответствующей обработкой Заказчик отдельно подтверждает согласие на обработку персональных данных и согласие на трансграничную передачу. Эти действия фиксируются с версией текста и не заменяются просмотром страницы или акцептом оферты.</w:t>
      </w:r>
    </w:p>
    <w:p>
      <w:pPr>
        <w:pStyle w:val="Heading1"/>
      </w:pPr>
      <w:r>
        <w:t>4. Цена и расчёты</w:t>
      </w:r>
    </w:p>
    <w:p>
      <w:r>
        <w:t>4.1. Цена: 7 000 (семь тысяч) тенге за 30 последовательных календарных дней с момента активации, включая 30 успешно сохранённых КМЖ, скачивание DOCX и личный архив.</w:t>
      </w:r>
    </w:p>
    <w:p>
      <w:r>
        <w:t>4.2. Предоставляется один индивидуальный тариф. Продление возможно только вручную после завершения текущего периода новым подтверждённым заказом. Досрочная оплата следующего периода не принимается; остаток действующего периода не отменяется.</w:t>
      </w:r>
    </w:p>
    <w:p>
      <w:r>
        <w:t>4.3. Цена окончательная. Применимый налоговый режим отражается в расчётных документах; льготы требуют подтверждения применимости. Цена уже оплаченного периода не увеличивается задним числом.</w:t>
      </w:r>
    </w:p>
    <w:p>
      <w:r>
        <w:t>4.4. Оплата — в тенге, через размещённую у FreedomPay платёжную форму. Карточные данные вводятся только у провайдера. В Sandbox списание имитируется; реальные продажи возможны только после активации боевого эквайринга.</w:t>
      </w:r>
    </w:p>
    <w:p>
      <w:r>
        <w:t>4.5. Автопродление, рекуррентные платежи и автоматические повторные списания отключены. После истечения периода новые генерации недоступны, ранее сохранённые документы остаются в личном архиве по правилам хранения.</w:t>
      </w:r>
    </w:p>
    <w:p>
      <w:r>
        <w:t>4.6. Изменения цены и условий распространяются на будущие заказы. Ранее приобретённые права и условия тестовых подписок сохраняются.</w:t>
      </w:r>
    </w:p>
    <w:p>
      <w:pPr>
        <w:pStyle w:val="Heading1"/>
      </w:pPr>
      <w:r>
        <w:t>5. Предоставление доступа и поддержка</w:t>
      </w:r>
    </w:p>
    <w:p>
      <w:r>
        <w:t>5.1. После серверного подтверждения успешной оплаты доступ активируется, как правило, в течение 15 минут, но не позднее 1 рабочего дня. Период начинается в момент фактической активации и составляет 30 последовательных календарных дней.</w:t>
      </w:r>
    </w:p>
    <w:p>
      <w:r>
        <w:t>5.2. Если средства списаны, а доступ отсутствует, Заказчик сообщает в поддержку сведения о платеже и аккаунте. Исполнитель проверяет статус и предоставляет доступ либо возвращает оплату, если оказание услуги невозможно. Доступ не подтверждается одним лишь возвратом браузера с платёжной страницы.</w:t>
      </w:r>
    </w:p>
    <w:p>
      <w:r>
        <w:t>5.3. Услуга доступа оказывается в течение оплаченного периода; активация не означает, что весь период оказан в момент подключения. Заказчик самостоятельно запускает генерацию и скачивает материалы. Стороны могут использовать журналы доступа и платежей как доказательства с правом их оспаривания.</w:t>
      </w:r>
    </w:p>
    <w:p>
      <w:r>
        <w:t>5.4. Для работы нужны интернет и актуальный браузер. Плановые работы по возможности проводятся с предварительным уведомлением в интерфейсе или на email. При непрерывной недоступности основных оплаченных функций по вине Исполнителя более 24 часов Заказчик выбирает продление на время недоступности или возврат за непредоставленную часть; иные права по закону сохраняются.</w:t>
      </w:r>
    </w:p>
    <w:p>
      <w:r>
        <w:t>5.5. Поддержка: abukawrld@gmail.com, +7 705 633 42 63. Приём email круглосуточный; ответы по рабочим дням 09:00–18:00, UTC+5. Целевой срок первого ответа — 1 рабочий день. Срок рассмотрения претензии указан в разделе 8.</w:t>
      </w:r>
    </w:p>
    <w:p>
      <w:r>
        <w:t>5.6. При недостаточной общей AI-ёмкости новые покупки приостанавливаются. Ограничения безопасности не отменяют обязанностей по уже оплаченному доступу и прав на возврат. Sandbox-пилот имеет отдельно раскрытые общие ограничения и не является реальной коммерческой покупкой.</w:t>
      </w:r>
    </w:p>
    <w:p>
      <w:pPr>
        <w:pStyle w:val="Heading1"/>
      </w:pPr>
      <w:r>
        <w:t>6. Права, обязанности и материалы</w:t>
      </w:r>
    </w:p>
    <w:p>
      <w:r>
        <w:t>6.1. Исполнитель обеспечивает предусмотренные заказом функции и обрабатывает обращения. Заказчик вправе использовать и редактировать полученные материалы в педагогической деятельности с соблюдением прав на исходные учебники, изображения и другие объекты третьих лиц.</w:t>
      </w:r>
    </w:p>
    <w:p>
      <w:r>
        <w:t>6.2. Заказчик проверяет результаты до использования, не загружает незаконные материалы, вредоносный код, чужие персональные данные без основания и сведения учащихся, позволяющие их идентифицировать. Запрещены обход ограничений, вмешательство в работу системы и перепродажа индивидуального доступа.</w:t>
      </w:r>
    </w:p>
    <w:p>
      <w:r>
        <w:t>6.3. Права Заказчика на его исходные материалы сохраняются. Он разрешает Исполнителю и раскрытым в политике техническим поставщикам обрабатывать их в объёме, необходимом для запрошенных функций. Это не даёт Исполнителю права публично распространять частные документы Заказчика или использовать их в рекламе без отдельного разрешения.</w:t>
      </w:r>
    </w:p>
    <w:p>
      <w:r>
        <w:t>6.4. Исполнитель не гарантирует исключительность или охраноспособность результата ИИ. Возможность использовать материалы сохраняется после завершения подписки в пределах прав на использованные источники.</w:t>
      </w:r>
    </w:p>
    <w:p>
      <w:r>
        <w:t>6.5. При подтверждённом нарушении или угрозе безопасности допускается соразмерное ограничение доступа с сообщением причины и способа обжалования; при срочной угрозе сообщение направляется после ограничения. Сам факт блокировки не означает автоматического удержания всей предоплаты.</w:t>
      </w:r>
    </w:p>
    <w:p>
      <w:pPr>
        <w:pStyle w:val="Heading1"/>
      </w:pPr>
      <w:r>
        <w:t>7. Персональные данные</w:t>
      </w:r>
    </w:p>
    <w:p>
      <w:r>
        <w:t>7.1. Состав данных, получатели, использование Gemini, служебной почты, технических cookies и права пользователя описаны в политике конфиденциальности. Обработка для рекламы не включается в обязательные условия платного доступа.</w:t>
      </w:r>
    </w:p>
    <w:p>
      <w:r>
        <w:t>7.2. Доступ работников Исполнителя к данным ограничен необходимостью эксплуатации и поддержки. Доступ к документам другого пользователя не предоставляется фактом регистрации или оплаты.</w:t>
      </w:r>
    </w:p>
    <w:p>
      <w:r>
        <w:t>7.3. Загрузка идентифицирующих данных несовершеннолетних не является предусмотренным назначением сервиса. Для примеров используются обезличенные или вымышленные обозначения.</w:t>
      </w:r>
    </w:p>
    <w:p>
      <w:pPr>
        <w:pStyle w:val="Heading1"/>
      </w:pPr>
      <w:r>
        <w:t>8. Отказ, недостатки и возврат</w:t>
      </w:r>
    </w:p>
    <w:p>
      <w:r>
        <w:t>8.1. Заказчик может обратиться за прекращением доступа и возвратом по адресу abukawrld@gmail.com. Отключение личного кабинета или истечение подписки сами по себе не заменяют заявление о возврате.</w:t>
      </w:r>
    </w:p>
    <w:p>
      <w:r>
        <w:t>8.2. До активации оплаченного периода возвращается вся сумма. Дополнительно для индивидуального тарифа действует добровольная гарантия: в течение 7 календарных дней после активации возвращается вся сумма, если пользователь не запускал успешно завершённую генерацию учебных материалов в этом периоде. Эта гарантия не ограничивает предусмотренные законом права.</w:t>
      </w:r>
    </w:p>
    <w:p>
      <w:r>
        <w:t>8.3. При обычном добровольном отказе после активации возвращается оплата за оставшуюся часть периода. Для индивидуального тарифа: сумма возврата = уплаченная сумма × оставшаяся длительность доступа / полная оплаченная длительность; расчёт ведётся с точностью до часа и округляется до тиына. Отсчёт прекращается в момент получения заявления. Дополнительные штрафы и комиссии за отказ не удерживаются. Если обязательные нормы дают Заказчику право на большую сумму, применяется больший размер возврата.</w:t>
      </w:r>
    </w:p>
    <w:p>
      <w:r>
        <w:t>8.4. При двойном списании или ошибочной оплате возвращается излишне полученная сумма. При непредоставлении доступа по вине Исполнителя возвращается оплата за непредоставленный период; если услуга вообще не была предоставлена, возвращается полная сумма. Претензии к недостаткам услуги рассматриваются отдельно, без подмены их обычным добровольным отказом.</w:t>
      </w:r>
    </w:p>
    <w:p>
      <w:r>
        <w:t>8.5. Исчерпание квоты и применение ограничений безопасности не отменяют предусмотренные законом права Заказчика при недостатках услуги или непредоставлении оплаченного доступа.</w:t>
      </w:r>
    </w:p>
    <w:p>
      <w:r>
        <w:t>8.6. В заявлении достаточно указать имя или наименование плательщика, email учётной записи, дату, сумму и номер платежа (если известен), причину обращения и желаемый способ связи. Чек прикладывается при наличии; его отсутствие не исключает проверку платежа по другим сведениям. Для подтверждения личности используются соразмерные способы; копия удостоверения личности по умолчанию не запрашивается. Нельзя отправлять полный номер карты, CVV/CVC, пароль или коды подтверждения.</w:t>
      </w:r>
    </w:p>
    <w:p>
      <w:r>
        <w:t>8.7. Мотивированный ответ направляется в течение 10 календарных дней со дня получения обращения. Исполнитель передаёт распоряжение на согласованный возврат платёжному провайдеру не позднее 5 рабочих дней после принятия решения, с соблюдением более коротких обязательных сроков, если они применимы. Эти сроки не продлевают сроки, установленные законом.</w:t>
      </w:r>
    </w:p>
    <w:p>
      <w:r>
        <w:t>8.8. Карточный платёж возвращается безналично на карту, с которой произведена оплата; наличная выдача по такому платежу не производится. Платёж по счёту возвращается на счёт плательщика. При закрытой карте или счёте порядок согласуется с банком и платёжным провайдером. Срок отражения возврата зависит от банка; по запросу Исполнитель сообщает идентификатор и статус операции и помогает разыскать возврат.</w:t>
      </w:r>
    </w:p>
    <w:p>
      <w:pPr>
        <w:pStyle w:val="Heading1"/>
      </w:pPr>
      <w:r>
        <w:t>9. Ответственность и разрешение споров</w:t>
      </w:r>
    </w:p>
    <w:p>
      <w:r>
        <w:t>9.1. Стороны отвечают за нарушение обязательств по законодательству Республики Казахстан. Предупреждение о возможных ошибках ИИ не освобождает Исполнителя от обязанности предоставить оплаченный функционал и рассмотреть обоснованные требования к услуге.</w:t>
      </w:r>
    </w:p>
    <w:p>
      <w:r>
        <w:t>9.2. Сбой поставщика или интернет-соединения не признаётся автоматически непреодолимой силой. При наличии обстоятельств непреодолимой силы пострадавшая сторона уведомляет другую и принимает разумные меры; расчёты за непредоставленные услуги разрешаются по закону и условиям возврата.</w:t>
      </w:r>
    </w:p>
    <w:p>
      <w:r>
        <w:t>9.3. Претензии направляются на abukawrld@gmail.com либо по юридическому адресу Исполнителя. Мотивированный ответ предоставляется в течение 10 календарных дней. Заказчик вправе использовать предусмотренные законом внесудебные и судебные способы защиты.</w:t>
      </w:r>
    </w:p>
    <w:p>
      <w:r>
        <w:t>9.4. Споры рассматриваются компетентным судом по правилам законодательства Республики Казахстан. Условие об исключительном обращении потребителя только по месту нахождения Исполнителя не устанавливается. Закон о защите прав потребителей применяется к лицам и отношениям, подпадающим под его действие; права юридических лиц регулируются применимыми нормами и договором.</w:t>
      </w:r>
    </w:p>
    <w:p>
      <w:pPr>
        <w:pStyle w:val="Heading1"/>
      </w:pPr>
      <w:r>
        <w:t>10. Срок и изменение условий</w:t>
      </w:r>
    </w:p>
    <w:p>
      <w:r>
        <w:t>10.1. Договор действует с акцепта до исполнения обязательств; право платного доступа ограничено приобретённым периодом. Обязательства по расчётам, возвратам, конфиденциальности и защите прав сохраняются в применимой части после окончания доступа.</w:t>
      </w:r>
    </w:p>
    <w:p>
      <w:r>
        <w:t>10.2. Новая редакция публикуется с датой начала действия и применяется к будущим заказам. Для оплаченного периода действуют согласованные при оплате условия, кроме обязательных изменений закона или улучшений, принятых Заказчиком.</w:t>
      </w:r>
    </w:p>
    <w:p>
      <w:r>
        <w:t>10.3. Если отдельное условие противоречит обязательной норме, применяется закон; остальные условия сохраняются. Прекращение продаж новых подписок не отменяет исполнения оплаченных обязательств.</w:t>
      </w:r>
    </w:p>
    <w:p>
      <w:pPr>
        <w:pStyle w:val="Heading1"/>
      </w:pPr>
      <w:r>
        <w:t>Адрес, реквизиты и контакты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Реквизит</w:t>
            </w:r>
          </w:p>
        </w:tc>
        <w:tc>
          <w:tcPr>
            <w:tcW w:type="dxa" w:w="4320"/>
          </w:tcPr>
          <w:p>
            <w:r>
              <w:t>Значение</w:t>
            </w:r>
          </w:p>
        </w:tc>
      </w:tr>
      <w:tr>
        <w:tc>
          <w:tcPr>
            <w:tcW w:type="dxa" w:w="4320"/>
          </w:tcPr>
          <w:p>
            <w:r>
              <w:t>Наименование</w:t>
            </w:r>
          </w:p>
        </w:tc>
        <w:tc>
          <w:tcPr>
            <w:tcW w:type="dxa" w:w="4320"/>
          </w:tcPr>
          <w:p>
            <w:r>
              <w:t>Товарищество с ограниченной ответственностью «Хастлерс»</w:t>
            </w:r>
          </w:p>
        </w:tc>
      </w:tr>
      <w:tr>
        <w:tc>
          <w:tcPr>
            <w:tcW w:type="dxa" w:w="4320"/>
          </w:tcPr>
          <w:p>
            <w:r>
              <w:t>БИН</w:t>
            </w:r>
          </w:p>
        </w:tc>
        <w:tc>
          <w:tcPr>
            <w:tcW w:type="dxa" w:w="4320"/>
          </w:tcPr>
          <w:p>
            <w:r>
              <w:t>260740029223</w:t>
            </w:r>
          </w:p>
        </w:tc>
      </w:tr>
      <w:tr>
        <w:tc>
          <w:tcPr>
            <w:tcW w:type="dxa" w:w="4320"/>
          </w:tcPr>
          <w:p>
            <w:r>
              <w:t>Юридический адрес</w:t>
            </w:r>
          </w:p>
        </w:tc>
        <w:tc>
          <w:tcPr>
            <w:tcW w:type="dxa" w:w="4320"/>
          </w:tcPr>
          <w:p>
            <w:r>
              <w:t>010000, Республика Казахстан, г. Астана, район Нұра, улица Чингиз Айтматов (Шыңғыс Айтматов), дом 36, подъезд 19, квартира 170</w:t>
            </w:r>
          </w:p>
        </w:tc>
      </w:tr>
      <w:tr>
        <w:tc>
          <w:tcPr>
            <w:tcW w:type="dxa" w:w="4320"/>
          </w:tcPr>
          <w:p>
            <w:r>
              <w:t>ИИК (KZT)</w:t>
            </w:r>
          </w:p>
        </w:tc>
        <w:tc>
          <w:tcPr>
            <w:tcW w:type="dxa" w:w="4320"/>
          </w:tcPr>
          <w:p>
            <w:r>
              <w:t>KZ61551Z600008051443</w:t>
            </w:r>
          </w:p>
        </w:tc>
      </w:tr>
      <w:tr>
        <w:tc>
          <w:tcPr>
            <w:tcW w:type="dxa" w:w="4320"/>
          </w:tcPr>
          <w:p>
            <w:r>
              <w:t>Банк</w:t>
            </w:r>
          </w:p>
        </w:tc>
        <w:tc>
          <w:tcPr>
            <w:tcW w:type="dxa" w:w="4320"/>
          </w:tcPr>
          <w:p>
            <w:r>
              <w:t>АО «Фридом Банк Казахстан»</w:t>
            </w:r>
          </w:p>
        </w:tc>
      </w:tr>
      <w:tr>
        <w:tc>
          <w:tcPr>
            <w:tcW w:type="dxa" w:w="4320"/>
          </w:tcPr>
          <w:p>
            <w:r>
              <w:t>БИК</w:t>
            </w:r>
          </w:p>
        </w:tc>
        <w:tc>
          <w:tcPr>
            <w:tcW w:type="dxa" w:w="4320"/>
          </w:tcPr>
          <w:p>
            <w:r>
              <w:t>KSNVKZKA</w:t>
            </w:r>
          </w:p>
        </w:tc>
      </w:tr>
      <w:tr>
        <w:tc>
          <w:tcPr>
            <w:tcW w:type="dxa" w:w="4320"/>
          </w:tcPr>
          <w:p>
            <w:r>
              <w:t>Сайт</w:t>
            </w:r>
          </w:p>
        </w:tc>
        <w:tc>
          <w:tcPr>
            <w:tcW w:type="dxa" w:w="4320"/>
          </w:tcPr>
          <w:p>
            <w:r>
              <w:t>https://ustaz.studio/</w:t>
            </w:r>
          </w:p>
        </w:tc>
      </w:tr>
      <w:tr>
        <w:tc>
          <w:tcPr>
            <w:tcW w:type="dxa" w:w="4320"/>
          </w:tcPr>
          <w:p>
            <w:r>
              <w:t>Электронная почта</w:t>
            </w:r>
          </w:p>
        </w:tc>
        <w:tc>
          <w:tcPr>
            <w:tcW w:type="dxa" w:w="4320"/>
          </w:tcPr>
          <w:p>
            <w:r>
              <w:t>abukawrld@gmail.com</w:t>
            </w:r>
          </w:p>
        </w:tc>
      </w:tr>
      <w:tr>
        <w:tc>
          <w:tcPr>
            <w:tcW w:type="dxa" w:w="4320"/>
          </w:tcPr>
          <w:p>
            <w:r>
              <w:t>Телефон поддержки</w:t>
            </w:r>
          </w:p>
        </w:tc>
        <w:tc>
          <w:tcPr>
            <w:tcW w:type="dxa" w:w="4320"/>
          </w:tcPr>
          <w:p>
            <w:r>
              <w:t>+7 705 633 42 63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Редакция • 29.10.2026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USTAZ STUDIO / ТОО «Хастлерс»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