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/>
        <w:t>Политика конфиденциальности и обработки персональных данных</w:t>
      </w:r>
    </w:p>
    <w:p>
      <w:pPr>
        <w:pStyle w:val="Subtitle"/>
      </w:pPr>
      <w:r>
        <w:rPr/>
        <w:t>Ustaz Studio • ТОО «Хастлерс»</w:t>
      </w:r>
    </w:p>
    <w:p>
      <w:r>
        <w:rPr/>
        <w:t>Редакция от 05.10.2026. Применяется с момента размещения на https://ustaz.studio/.</w:t>
      </w:r>
    </w:p>
    <w:p>
      <w:pPr>
        <w:pStyle w:val="Heading1"/>
      </w:pPr>
      <w:r>
        <w:rPr/>
        <w:t>1. Оператор и область действия</w:t>
      </w:r>
    </w:p>
    <w:p>
      <w:r>
        <w:rPr/>
        <w:t>1.1. ТОО «Хастлерс», БИН 260740029223 (далее — Оператор), обрабатывает данные пользователей https://ustaz.studio/, представителей школ и лиц, обращающихся в поддержку. Политика описывает работу веб-сервиса подготовки учебных материалов для пользователей в Казахстане.</w:t>
      </w:r>
    </w:p>
    <w:p>
      <w:r>
        <w:rPr/>
        <w:t>1.2. Политика применяется к личным кабинетам, заявкам школ, оплате, генерации материалов и обращениям в поддержку. Сервис предназначен для совершеннолетних педагогов и уполномоченных представителей организаций. Отдельные учётные записи учащихся настоящими условиями не предусматриваются.</w:t>
      </w:r>
    </w:p>
    <w:p>
      <w:r>
        <w:rPr/>
        <w:t>1.3. Оператор запрашивает подтверждаемое согласие в применимых случаях. Простое открытие страницы не считается согласием на произвольную обработку данных. Данные используются для обозначенных целей; обработка без согласия допускается только при наличии предусмотренного законом основания.</w:t>
      </w:r>
    </w:p>
    <w:p>
      <w:pPr>
        <w:pStyle w:val="Heading1"/>
      </w:pPr>
      <w:r>
        <w:rPr/>
        <w:t>2. Какие сведения обрабатываются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47"/>
        <w:gridCol w:w="4847"/>
      </w:tblGrid>
      <w:tr>
        <w:trPr>
          <w:tblHeader/>
        </w:trPr>
        <w:tc>
          <w:tcPr>
            <w:tcW w:type="dxa" w:w="4847"/>
            <w:shd w:fill="21564E"/>
          </w:tcPr>
          <w:p>
            <w:pPr>
              <w:spacing w:after="100" w:before="80"/>
            </w:pPr>
            <w:r>
              <w:rPr>
                <w:b/>
                <w:color w:val="FFFFFF"/>
                <w:sz w:val="18"/>
              </w:rPr>
              <w:t>Категория</w:t>
            </w:r>
          </w:p>
        </w:tc>
        <w:tc>
          <w:tcPr>
            <w:tcW w:type="dxa" w:w="4847"/>
            <w:shd w:fill="21564E"/>
          </w:tcPr>
          <w:p>
            <w:pPr>
              <w:spacing w:after="100" w:before="80"/>
            </w:pPr>
            <w:r>
              <w:rPr>
                <w:b/>
                <w:color w:val="FFFFFF"/>
                <w:sz w:val="18"/>
              </w:rPr>
              <w:t>Сведения и назначение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Регистрация и вход</w:t>
            </w:r>
          </w:p>
        </w:tc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Имя, фамилия и отчество при наличии, email, идентификатор учётной записи, защищённые данные аутентификации, статусы подтверждения email и сессий. Нужны для регистрации, входа и восстановления доступа. Пароль нельзя передавать в поддержку.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Профиль и организация</w:t>
            </w:r>
          </w:p>
        </w:tc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Имя в профиле, роль, принадлежность к школе, назначение классов/предметов и права доступа. Нужны для работы личного и школьного кабинета.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Заявка школы</w:t>
            </w:r>
          </w:p>
        </w:tc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ФИО контактного лица, название школы, город и телефон. При оформлении договора — реквизиты организации, контакты и полномочия представителя.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Учебные материалы</w:t>
            </w:r>
          </w:p>
        </w:tc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Предмет, класс, тема, язык, цели обучения, пользовательские тексты, сведения в создаваемых документах, история генераций, архив, результаты автоматического анализа. Нужны для подготовки материалов и работы архива.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Оплата</w:t>
            </w:r>
          </w:p>
        </w:tc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Тариф, срок подписки, сумма, валюта, номер и статус заказа/платежа, сведения о возврате. Полный номер карты и CVV/CVC вводятся у платёжного провайдера и не запрашиваются в формах Ustaz Studio.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Техническая информация</w:t>
            </w:r>
          </w:p>
        </w:tc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IP-адрес, сведения о браузере и устройстве, время запросов, журналы ошибок и действий, показатели работы сервиса. Нужны для безопасности, диагностики и ограничения злоупотреблений.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Поддержка</w:t>
            </w:r>
          </w:p>
        </w:tc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Email, телефон и содержание обращения, добровольно приложенные файлы, история решения вопроса. Нужны для ответа и рассмотрения претензий.</w:t>
            </w:r>
          </w:p>
        </w:tc>
      </w:tr>
    </w:tbl>
    <w:p/>
    <w:p>
      <w:pPr>
        <w:pStyle w:val="Heading1"/>
      </w:pPr>
      <w:r>
        <w:rPr/>
        <w:t>3. Цели и сообщения пользователю</w:t>
      </w:r>
    </w:p>
    <w:p>
      <w:r>
        <w:rPr/>
        <w:t>3.1. Оператор использует сведения для учётной записи, предоставления оплаченного доступа, обработки заявки школы, генерации и хранения документов, технической поддержки, учёта оплаты, возвратов и защиты сервиса.</w:t>
      </w:r>
    </w:p>
    <w:p>
      <w:r>
        <w:rPr/>
        <w:t>3.2. На email направляются служебные письма: подтверждение регистрации, восстановление пароля, приглашение в организацию, подтверждение изменения email и сообщения по обращениям. Рассылки с рекламой требуют отдельного добровольного согласия; отказ от рекламы не ограничивает оплаченный доступ.</w:t>
      </w:r>
    </w:p>
    <w:p>
      <w:r>
        <w:rPr/>
        <w:t>3.3. Отчёты школьного кабинета могут показывать уполномоченным сотрудникам школы профиль подключённого учителя, его учебные материалы, активность и результаты автоматического анализа в пределах школьных прав доступа. Перед присоединением к школе пользователь должен быть уведомлён об этом. Автоматический анализ не является кадровым решением или официальной аттестацией.</w:t>
      </w:r>
    </w:p>
    <w:p>
      <w:pPr>
        <w:pStyle w:val="Heading1"/>
      </w:pPr>
      <w:r>
        <w:rPr/>
        <w:t>4. Искусственный интеллект и содержание запросов</w:t>
      </w:r>
    </w:p>
    <w:p>
      <w:r>
        <w:rPr/>
        <w:t>4.1. Для генерации, работы с учебным контекстом и автоматической проверки материалов используется Google Gemini API. В Google передаются параметры учебной задачи, необходимый контекст, текст запроса и, для отдельных функций, содержание результата. Если пользователь включает персональные сведения в свободный текст, эти сведения могут попасть во внешний запрос.</w:t>
      </w:r>
    </w:p>
    <w:p>
      <w:r>
        <w:rPr/>
        <w:t>4.2. Не следует вводить ФИО, ИИН, контакты, оценки, медицинские сведения и другие персональные данные учеников. Для примеров используются условные обозначения без возможности установить ребёнка. Необходимо удалять из загружаемых и вставляемых материалов данные посторонних лиц и охраняемую тайну.</w:t>
      </w:r>
    </w:p>
    <w:p>
      <w:r>
        <w:rPr/>
        <w:t>4.3. Сервис использует платный Gemini API с подключённым биллингом Google. Согласно условиям платного API Google не использует запросы и ответы для улучшения своих продуктов; при этом допускается ограниченное журналирование для обеспечения безопасности и исполнения законных требований. Данные могут временно храниться или кэшироваться в странах размещения инфраструктуры Google и его подрядчиков. Применимые условия: https://ai.google.dev/gemini-api/terms. Это не означает отсутствие любой обработки или хранения у Google.</w:t>
      </w:r>
    </w:p>
    <w:p>
      <w:r>
        <w:rPr/>
        <w:t>4.4. Результаты ИИ могут содержать ошибки. Перед использованием педагог проверяет содержание; Оператор не использует результаты автоматической оценки как единственное основание решений, затрагивающих права пользователя.</w:t>
      </w:r>
    </w:p>
    <w:p>
      <w:pPr>
        <w:pStyle w:val="Heading1"/>
      </w:pPr>
      <w:r>
        <w:rPr/>
        <w:t>5. Получатели данных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47"/>
        <w:gridCol w:w="4847"/>
      </w:tblGrid>
      <w:tr>
        <w:trPr>
          <w:tblHeader/>
        </w:trPr>
        <w:tc>
          <w:tcPr>
            <w:tcW w:type="dxa" w:w="4847"/>
            <w:shd w:fill="21564E"/>
          </w:tcPr>
          <w:p>
            <w:pPr>
              <w:spacing w:after="100" w:before="80"/>
            </w:pPr>
            <w:r>
              <w:rPr>
                <w:b/>
                <w:color w:val="FFFFFF"/>
                <w:sz w:val="18"/>
              </w:rPr>
              <w:t>Получатель / компонент</w:t>
            </w:r>
          </w:p>
        </w:tc>
        <w:tc>
          <w:tcPr>
            <w:tcW w:type="dxa" w:w="4847"/>
            <w:shd w:fill="21564E"/>
          </w:tcPr>
          <w:p>
            <w:pPr>
              <w:spacing w:after="100" w:before="80"/>
            </w:pPr>
            <w:r>
              <w:rPr>
                <w:b/>
                <w:color w:val="FFFFFF"/>
                <w:sz w:val="18"/>
              </w:rPr>
              <w:t>Объём и назначение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  <w:t>Freedom Pay и участвующие банки</w:t>
            </w:r>
          </w:p>
        </w:tc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  <w:t>ТОО «Freedom Pay» (Казахстан) и банки, участвующие в операции: сведения о заказе и платеже для оплаты и возврата. Данные карты вводятся у платёжного провайдера. Политика: https://freedompay.kz/largebusiness/privacy_policy. Конкретный банк и доступный способ определяются платёжной операцией.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  <w:t>Google Gemini API</w:t>
            </w:r>
          </w:p>
        </w:tc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  <w:t>Google и привлекаемые им обработчики: учебные запросы, контекст и результаты для генерации и проверки. Возможна обработка в США и других странах инфраструктуры Google. Условия и ограничения — раздел 4; https://ai.google.dev/gemini-api/terms.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  <w:t>Resend — Plus Five Five, Inc.</w:t>
            </w:r>
          </w:p>
        </w:tc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  <w:t>Email получателя, содержание служебного письма и сведения о доставке. Используется для подтверждения регистрации, восстановления доступа и иных служебных сообщений. Провайдер раскрывает обработку данных в США: https://resend.com/legal/privacy-policy.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  <w:t>Cloudflare, Inc. — DNS</w:t>
            </w:r>
          </w:p>
        </w:tc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  <w:t>Используется только для обслуживания DNS домена (режим DNS-only). Обрабатывает технические сведения DNS-запросов в пределах этого режима; содержимое запросов приложения не проходит через прокси Cloudflare. Cloudflare Tunnel не используется. Глобальная инфраструктура, включая США и Европейскую экономическую зону: https://www.cloudflare.com/privacypolicy/.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  <w:t>Google / Gmail — почта поддержки</w:t>
            </w:r>
          </w:p>
        </w:tc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  <w:t>Email, имя отправителя, текст обращения и вложения при переписке с abukawrld@gmail.com. Возможна обработка за пределами Казахстана в глобальной инфраструктуре Google. Политика: https://policies.google.com/privacy. Не направляйте данные учащихся, пароли и платёжные секреты.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Школа пользователя</w:t>
            </w:r>
          </w:p>
        </w:tc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Уполномоченные администраторы получают данные школьного кабинета в пределах согласованной роли и принадлежности пользователя к организации.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  <w:t>Уполномоченные работники Оператора</w:t>
            </w:r>
          </w:p>
        </w:tc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  <w:t>Доступ по служебной необходимости для эксплуатации и поддержки с соблюдением конфиденциальности. Привлечение новых внешних обработчиков, требующее изменения раскрытых условий, сопровождается обновлением политики и получением согласия в применимых случаях.</w:t>
            </w:r>
          </w:p>
        </w:tc>
      </w:tr>
      <w:tr>
        <w:tc>
          <w:tcPr>
            <w:tcW w:type="dxa" w:w="4847"/>
          </w:tcPr>
          <w:p>
            <w:r>
              <w:rPr>
                <w:sz w:val="18"/>
              </w:rPr>
              <w:t>PrimeCloud — облачная инфраструктура</w:t>
            </w:r>
          </w:p>
        </w:tc>
        <w:tc>
          <w:tcPr>
            <w:tcW w:type="dxa" w:w="4847"/>
          </w:tcPr>
          <w:p>
            <w:r>
              <w:rPr>
                <w:sz w:val="18"/>
              </w:rPr>
              <w:t>ТОО «Prime Source Innovation», Республика Казахстан: размещение основной базы, материалов и резервных копий, техническое обслуживание инфраструктуры в необходимом объёме. Используемый регион — Алматы, Казахстан. Политика поставщика: https://primecloud.kz/politica.</w:t>
            </w:r>
          </w:p>
        </w:tc>
      </w:tr>
    </w:tbl>
    <w:p/>
    <w:p>
      <w:pPr>
        <w:pStyle w:val="Heading1"/>
      </w:pPr>
      <w:r>
        <w:rPr/>
        <w:t>6. Хранение и передача за пределы Казахстана</w:t>
      </w:r>
    </w:p>
    <w:p>
      <w:r>
        <w:rPr/>
        <w:t>6.1. Основная база данных, материалы сервиса и их резервные копии размещаются в облачной инфраструктуре PrimeCloud в городе Алматы, Республика Казахстан. Оператор сервиса Ustaz Studio — ТОО «Хастлерс»; поставщик инфраструктуры указан в разделе 5. Передача отдельных сведений внешним сервисам для выполнения их функций описана отдельно в пункте 6.2 и не меняет указанное место размещения основной базы и резервных копий.</w:t>
      </w:r>
    </w:p>
    <w:p>
      <w:r>
        <w:rPr/>
        <w:t>6.2. Размещение основной базы в Казахстане не исключает отдельных трансграничных передач при работе внешних сервисов: Google Gemini, почты Resend, Google/Gmail и DNS Cloudflare. Получатели и назначение указаны в разделе 5. Передача выполняется при наличии предусмотренного законодательством основания и необходимого согласия. Изменение состава получателей или целей обработки предварительно отражается в политике и, когда требуется, в новом согласии.</w:t>
      </w:r>
    </w:p>
    <w:p>
      <w:r>
        <w:rPr/>
        <w:t>6.3. Данные кабинета и архив хранятся в течение использования кабинета и до достижения целей обработки либо рассмотрения запроса на удаление. Данные заявки школы используются до завершения переговоров и исполнения заключённого договора; при прекращении переговоров и отсутствии иного законного основания удаляются. Переписка поддержки сохраняется на период решения вопроса и связанных с ним требований. Технические журналы используются только на срок, необходимый для диагностики и безопасности. Данные, утратившие необходимую цель обработки и законное основание хранения, подлежат удалению или обезличиванию.</w:t>
      </w:r>
    </w:p>
    <w:p>
      <w:r>
        <w:rPr/>
        <w:t>6.4. Для договорных, платёжных и иных учётных документов применяются установленные законодательством сроки хранения. Удаление из действующей базы учитывается при восстановлении из резервной копии, чтобы удалённые сведения не возвращались в обычную обработку. Доступ к резервным копиям ограничен задачами восстановления и безопасности; они удаляются по установленному регламенту ротации.</w:t>
      </w:r>
    </w:p>
    <w:p>
      <w:pPr>
        <w:pStyle w:val="Heading1"/>
      </w:pPr>
      <w:r>
        <w:rPr/>
        <w:t>7. Cookies, защита и права пользователя</w:t>
      </w:r>
    </w:p>
    <w:p>
      <w:r>
        <w:rPr/>
        <w:t>7.1. Сервис использует cookies для входа и поддержания сессии, а также локальное хранилище браузера для языка интерфейса и пользовательских настроек. Ограничение этих механизмов может нарушить вход или сохранение настроек. Рекламное отслеживание не включается в согласие на работу учётной записи.</w:t>
      </w:r>
    </w:p>
    <w:p>
      <w:r>
        <w:rPr/>
        <w:t>7.2. Оператор ограничивает доступ по ролям, применяет защищённые соединения, проверку сессий, журналирование и резервное копирование. Пользователь отвечает за сохранность своих средств входа; это не освобождает Оператора от ответственности за собственные нарушения.</w:t>
      </w:r>
    </w:p>
    <w:p>
      <w:r>
        <w:rPr/>
        <w:t>7.3. По адресу abukawrld@gmail.com можно запросить сведения об обработке, исправление, блокирование или удаление данных, а также отозвать согласие. Укажите email кабинета и суть запроса. Для защиты данных Оператор может попросить подтвердить владение аккаунтом.</w:t>
      </w:r>
    </w:p>
    <w:p>
      <w:r>
        <w:rPr/>
        <w:t>7.4. После отзыва согласия обработка прекращается в установленные законом сроки либо направляется обоснование законного продолжения. Если необходимые для сервиса сведения больше нельзя обрабатывать, соответствующие функции прекращаются; вопрос возврата решается по оферте. Пользователь вправе обратиться в уполномоченный орган или суд.</w:t>
      </w:r>
    </w:p>
    <w:p>
      <w:r>
        <w:rPr/>
        <w:t>7.5. Изменённая политика публикуется на сайте с датой редакции. О существенных изменениях Оператор сообщает в интерфейсе или на email. Для новых целей и получателей при необходимости запрашивается новое согласие; публикация новой редакции сама по себе его не заменяет.</w:t>
      </w:r>
    </w:p>
    <w:p>
      <w:pPr>
        <w:pStyle w:val="Heading1"/>
      </w:pPr>
      <w:r>
        <w:rPr/>
        <w:t>Адрес, реквизиты и контакты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47"/>
        <w:gridCol w:w="4847"/>
      </w:tblGrid>
      <w:tr>
        <w:trPr>
          <w:tblHeader/>
        </w:trPr>
        <w:tc>
          <w:tcPr>
            <w:tcW w:type="dxa" w:w="4847"/>
            <w:shd w:fill="21564E"/>
          </w:tcPr>
          <w:p>
            <w:pPr>
              <w:keepNext/>
              <w:spacing w:after="100" w:before="80"/>
            </w:pPr>
            <w:r>
              <w:rPr>
                <w:b/>
                <w:color w:val="FFFFFF"/>
                <w:sz w:val="18"/>
              </w:rPr>
              <w:t>Реквизит</w:t>
            </w:r>
          </w:p>
        </w:tc>
        <w:tc>
          <w:tcPr>
            <w:tcW w:type="dxa" w:w="4847"/>
            <w:shd w:fill="21564E"/>
          </w:tcPr>
          <w:p>
            <w:pPr>
              <w:keepNext/>
              <w:spacing w:after="100" w:before="80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keepNext/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Наименование</w:t>
            </w:r>
          </w:p>
        </w:tc>
        <w:tc>
          <w:tcPr>
            <w:tcW w:type="dxa" w:w="4847"/>
          </w:tcPr>
          <w:p>
            <w:pPr>
              <w:keepNext/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Товарищество с ограниченной ответственностью «Хастлерс»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keepNext/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БИН</w:t>
            </w:r>
          </w:p>
        </w:tc>
        <w:tc>
          <w:tcPr>
            <w:tcW w:type="dxa" w:w="4847"/>
          </w:tcPr>
          <w:p>
            <w:pPr>
              <w:keepNext/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260740029223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keepNext/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Юридический адрес</w:t>
            </w:r>
          </w:p>
        </w:tc>
        <w:tc>
          <w:tcPr>
            <w:tcW w:type="dxa" w:w="4847"/>
          </w:tcPr>
          <w:p>
            <w:pPr>
              <w:keepNext/>
              <w:spacing w:after="100" w:before="80"/>
            </w:pPr>
            <w:r>
              <w:rPr>
                <w:sz w:val="18"/>
              </w:rPr>
              <w:t>010000, Республика Казахстан, г. Астана, район Нұра, улица Чингиз Айтматов (Шыңғыс Айтматов), дом 36, подъезд 19, квартира 170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keepNext/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ИИК (KZT)</w:t>
            </w:r>
          </w:p>
        </w:tc>
        <w:tc>
          <w:tcPr>
            <w:tcW w:type="dxa" w:w="4847"/>
          </w:tcPr>
          <w:p>
            <w:pPr>
              <w:keepNext/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KZ61551Z600008051443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keepNext/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Банк</w:t>
            </w:r>
          </w:p>
        </w:tc>
        <w:tc>
          <w:tcPr>
            <w:tcW w:type="dxa" w:w="4847"/>
          </w:tcPr>
          <w:p>
            <w:pPr>
              <w:keepNext/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АО «Фридом Банк Казахстан»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keepNext/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БИК</w:t>
            </w:r>
          </w:p>
        </w:tc>
        <w:tc>
          <w:tcPr>
            <w:tcW w:type="dxa" w:w="4847"/>
          </w:tcPr>
          <w:p>
            <w:pPr>
              <w:keepNext/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KSNVKZKA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keepNext/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Сайт</w:t>
            </w:r>
          </w:p>
        </w:tc>
        <w:tc>
          <w:tcPr>
            <w:tcW w:type="dxa" w:w="4847"/>
          </w:tcPr>
          <w:p>
            <w:pPr>
              <w:keepNext/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https://ustaz.studio/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keepNext/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Электронная почта</w:t>
            </w:r>
          </w:p>
        </w:tc>
        <w:tc>
          <w:tcPr>
            <w:tcW w:type="dxa" w:w="4847"/>
          </w:tcPr>
          <w:p>
            <w:pPr>
              <w:keepNext/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abukawrld@gmail.com</w:t>
            </w:r>
          </w:p>
        </w:tc>
      </w:tr>
      <w:tr>
        <w:trPr>
          <w:cantSplit/>
        </w:trPr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Телефон поддержки</w:t>
            </w:r>
          </w:p>
        </w:tc>
        <w:tc>
          <w:tcPr>
            <w:tcW w:type="dxa" w:w="4847"/>
          </w:tcPr>
          <w:p>
            <w:pPr>
              <w:spacing w:after="100" w:before="80"/>
            </w:pPr>
            <w:r>
              <w:rPr>
                <w:sz w:val="18"/>
              </w:rPr>
            </w:r>
            <w:r>
              <w:rPr>
                <w:sz w:val="18"/>
              </w:rPr>
              <w:t>+7 705 633 42 63</w:t>
            </w:r>
          </w:p>
        </w:tc>
      </w:tr>
    </w:tbl>
    <w:p/>
    <w:p>
      <w:r>
        <w:rPr/>
      </w:r>
    </w:p>
    <w:p>
      <w:pPr>
        <w:pStyle w:val="Heading1"/>
      </w:pPr>
      <w:r>
        <w:rPr/>
        <w:t>Приложение. Согласие пользователя</w:t>
      </w:r>
    </w:p>
    <w:p>
      <w:r>
        <w:rPr/>
        <w:t>Настоящий текст подтверждается отдельно при регистрации или отправке заявки и связывается с данными соответствующей формы. Согласие на трансграничную передачу подтверждается отдельной отметкой.</w:t>
      </w:r>
    </w:p>
    <w:p>
      <w:r>
        <w:rPr/>
        <w:t>Я, пользователь, чьи фамилия, имя, отчество при наличии и контактные сведения указаны в подтверждаемой мной форме регистрации или заявки, даю ТОО «Хастлерс», БИН 260740029223, согласие на обработку данных из раздела 2 Политики в объёме выбранных функций: регистрация, доступ к Ustaz Studio, подготовка и хранение учебных материалов, заявка школы, оплата, возвраты и поддержка.</w:t>
      </w:r>
    </w:p>
    <w:p>
      <w:r>
        <w:rPr/>
        <w:t>Разрешаю необходимые действия с данными: сбор, запись, хранение, использование, уточнение, предоставление согласованным получателям, блокирование и удаление. Получатели и цели приведены в разделе 5 Политики. Публикацию моих персональных данных в общедоступных источниках настоящее согласие не разрешает.</w:t>
      </w:r>
    </w:p>
    <w:p>
      <w:r>
        <w:rPr/>
        <w:t>Согласие действует в период использования соответствующих функций и хранения данных по разделу 6 Политики, до достижения целей или допустимого отзыва. Отзыв направляется на abukawrld@gmail.com. Обязательное хранение по закону осуществляется независимо от отзыва в соответствующем объёме.</w:t>
      </w:r>
    </w:p>
    <w:p>
      <w:r>
        <w:rPr/>
        <w:t>Отдельное согласие на трансграничную передачу: я ознакомлен с разделами 4–6 Политики, перечнем внешних сервисов Google Gemini, Resend, Google/Gmail и DNS Cloudflare, назначением и составом передаваемых данных. Согласен на необходимую для выбранных функций передачу данных указанным получателям за пределы Республики Казахстан, включая США и другие территории обработки, раскрытые в разделе 5. Это согласие не разрешает публичное распространение моих данных или передачу для посторонних целей.</w:t>
      </w:r>
    </w:p>
    <w:p>
      <w:r>
        <w:rPr/>
        <w:t>Согласие не включает рекламную рассылку. Подтверждение связывается с ФИО и контактными сведениями из формы, идентификатором кабинета/заявки, временем и версией текста; сведения о его предоставлении сохраняются Оператором для подтверждения согласия.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Редакция • 05.10.2026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746F"/>
        <w:sz w:val="18"/>
      </w:rPr>
      <w:t>USTAZ STUDIO  /  ТОО «Хастлерс»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21564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21564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21564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240" w:after="140"/>
    </w:pPr>
    <w:rPr>
      <w:rFonts w:asciiTheme="majorHAnsi" w:eastAsiaTheme="majorEastAsia" w:hAnsiTheme="majorHAnsi" w:cstheme="majorBidi" w:ascii="Arial" w:hAnsi="Arial"/>
      <w:i/>
      <w:iCs/>
      <w:color w:val="21564E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 w:line="259" w:lineRule="auto"/>
    </w:pPr>
    <w:rPr>
      <w:rFonts w:ascii="Arial" w:hAnsi="Arial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конфиденциальности и обработки персональных данных</dc:title>
  <dc:subject>Ustaz Studio — документы для подключения оплаты</dc:subject>
  <dc:creator>ТОО «Хастлерс»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