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Порядок оплаты, предоставления доступа и возврата</w:t>
      </w:r>
    </w:p>
    <w:p>
      <w:pPr>
        <w:pStyle w:val="Subtitle"/>
      </w:pPr>
      <w:r>
        <w:rPr/>
        <w:t>Ustaz Studio • ТОО «Хастлерс»</w:t>
      </w:r>
    </w:p>
    <w:p>
      <w:r>
        <w:rPr/>
        <w:t>Редакция от 05.10.2026. Применяется с момента размещения на https://ustaz.studio/ к отношениям и заказам, оформленным после размещения этой редакции; ранее приобретённые права сохраняются.</w:t>
      </w:r>
    </w:p>
    <w:p>
      <w:pPr>
        <w:pStyle w:val="Heading1"/>
      </w:pPr>
      <w:r>
        <w:t>1. За что производится оплата</w:t>
      </w:r>
    </w:p>
    <w:p>
      <w:r>
        <w:t>1.1. ТОО «Хастлерс», БИН 260740029223, предоставляет через https://ustaz.studio/ временный доступ к SaaS-сервису подготовки КМЖ, СОР/СОЧ, рабочих листов и презентаций. Услуга предоставляется в электронной форме на территории Казахстана; доставка материальных товаров не осуществляется.</w:t>
      </w:r>
    </w:p>
    <w:p>
      <w:r>
        <w:rPr/>
        <w:t>1.2. Индивидуальный доступ для одного пользователя стоит 7 000 (семь тысяч) тенге за 30 последовательных календарных дней с момента активации.</w:t>
      </w:r>
    </w:p>
    <w:p>
      <w:r>
        <w:t>1.3. Для юридических лиц, включая школы, цена, срок, число пользователей, состав функций, лимиты, порядок активации и закрывающие документы согласуются после заявки на сайте и фиксируются в договоре, спецификации или счёте с приложенными условиями до оплаты. Заявка сама по себе не создаёт обязанности оплатить услуги.</w:t>
      </w:r>
    </w:p>
    <w:p>
      <w:r>
        <w:rPr/>
        <w:t>1.4. Исполнитель зарегистрирован в качестве участника «Астана Хаб»: свидетельство № 3807 от 28.08.2026, срок действия, указанный в свидетельстве, — до 31.07.2028. Оплата доступа к Ustaz Studio производится без НДС в рамках освобождения, предусмотренного подпунктом 34 статьи 474 Налогового кодекса Республики Казахстан, при соблюдении Исполнителем условий статьи 17 этого Кодекса. Освобождение не является нулевой ставкой НДС. Цена для физического лица является окончательной и не увеличивается на НДС сверх суммы, показанной до оплаты. При изменении налогового статуса цена уже оплаченного заказа не пересматривается; применимый налоговый режим отражается в расчётных документах.</w:t>
      </w:r>
    </w:p>
    <w:p>
      <w:r>
        <w:t>1.5. Оплата индивидуального тарифа производится за отдельный период. Автоматическое продление и повторные списания без нового подтверждения пользователя этими условиями не предусмотрены.</w:t>
      </w:r>
    </w:p>
    <w:p>
      <w:pPr>
        <w:pStyle w:val="Heading1"/>
      </w:pPr>
      <w:r>
        <w:t>2. Оплата банковской картой через Freedom Pay</w:t>
      </w:r>
    </w:p>
    <w:p>
      <w:r>
        <w:t>2.1. Пользователь входит в кабинет, выбирает тариф, проверяет сумму и период, знакомится с офертой и переходит на защищённую страницу Freedom Pay. К оплате принимаются Visa и Mastercard при поддержке конкретной карты банком и платёжным провайдером; доступные способы отображаются на платёжной странице.</w:t>
      </w:r>
    </w:p>
    <w:p>
      <w:r>
        <w:t>2.2. Данные карты вводятся только в платёжной форме провайдера. Банк может запросить подтверждение 3-D Secure в своём приложении или кодом. Не сообщайте эти коды и CVV/CVC сотрудникам сервиса.</w:t>
      </w:r>
    </w:p>
    <w:p>
      <w:r>
        <w:t>2.3. Ustaz Studio использует ответ провайдера о статусе операции. Возврат браузера на сайт сам по себе не подтверждает оплату. Платёжные сведения передаются по защищённому соединению; формы Ustaz Studio не предназначены для ввода или хранения полного номера карты и CVV/CVC.</w:t>
      </w:r>
    </w:p>
    <w:p>
      <w:r>
        <w:t>2.4. Платёж может быть отклонён из-за недостатка средств, ограничений интернет-покупок, неверных данных, истечения срока карты, банковских лимитов или проверки безопасности. Причину отказа и возможность повторения уточняют в банке, выпустившем карту.</w:t>
      </w:r>
    </w:p>
    <w:p>
      <w:r>
        <w:t>2.5. Если деньги списаны, но доступ не открыт, не повторяйте оплату до проверки статуса: сообщите в поддержку email кабинета, время, сумму и номер операции. Платёжный документ предоставляется по применимым правилам расчётов; при необходимости запросите его через поддержку.</w:t>
      </w:r>
    </w:p>
    <w:p>
      <w:pPr>
        <w:pStyle w:val="Heading1"/>
      </w:pPr>
      <w:r>
        <w:t>3. Оплата школой по счёту</w:t>
      </w:r>
    </w:p>
    <w:p>
      <w:r>
        <w:t>3.1. После согласования заказа Исполнитель направляет счёт и условия подключения на контакт представителя организации. Срок оплаты указывается в счёте. Перед переводом представитель проверяет наименование, БИН и банковские реквизиты Исполнителя.</w:t>
      </w:r>
    </w:p>
    <w:p>
      <w:r>
        <w:t>3.2. Оплата производится в тенге на ИИК KZ61551Z600008051443 в АО «Фридом Банк Казахстан», БИК KSNVKZKA. Номер счёта или договора указывается в назначении платежа. Подключение не основывается только на скриншоте платёжного поручения.</w:t>
      </w:r>
    </w:p>
    <w:p>
      <w:r>
        <w:t>3.3. Для организаций, закупки которых требуют отдельного договора или установленной законом процедуры, подключение оформляется с соблюдением такой процедуры.</w:t>
      </w:r>
    </w:p>
    <w:p>
      <w:pPr>
        <w:pStyle w:val="Heading1"/>
      </w:pPr>
      <w:r>
        <w:t>4. Электронное предоставление услуги</w:t>
      </w:r>
    </w:p>
    <w:p>
      <w:r>
        <w:t>4.1. После подтверждения успешной оплаты Freedom Pay доступ активируется в личном кабинете, как правило, в течение 15 минут, но не позднее 1 рабочего дня. При оплате юридическим лицом по счёту доступ предоставляется не позднее 1 рабочего дня после зачисления средств, если в согласованном заказе не указана более поздняя дата. Оплаченный период отсчитывается от фактической активации, а не от времени устранения задержки платежа.</w:t>
      </w:r>
    </w:p>
    <w:p>
      <w:r>
        <w:t>4.2. Доступ предоставляется через личный кабинет и подключение согласованных школьных пользователей. Скачивание созданных документов выполняется через интерфейс; курьерская доставка, самовывоз и плата за доставку не предусмотрены.</w:t>
      </w:r>
    </w:p>
    <w:p>
      <w:r>
        <w:t>4.3. Для работы необходимы интернет, актуальный браузер и действующая учётная запись. При задержке или сбое обращайтесь на abukawrld@gmail.com либо по телефону +7 705 633 42 63. Сообщения по email принимаются круглосуточно, ответы поддержки — по рабочим дням с 09:00 до 18:00 по времени Казахстана (UTC+5).</w:t>
      </w:r>
    </w:p>
    <w:p>
      <w:r>
        <w:t>4.4. При непрерывной недоступности оплаченных основных функций по вине Исполнителя более 24 часов пользователь вправе выбрать продление на время недоступности или возврат за непредоставленную часть. Иные обязательные права при недостатках услуги сохраняются.</w:t>
      </w:r>
    </w:p>
    <w:p>
      <w:pPr>
        <w:pStyle w:val="Heading1"/>
      </w:pPr>
      <w:r>
        <w:t>5. Прекращение доступа и возврат оплаты</w:t>
      </w:r>
    </w:p>
    <w:p>
      <w:r>
        <w:t>5.1. Заказчик может обратиться за прекращением доступа и возвратом по адресу abukawrld@gmail.com. Отключение личного кабинета или истечение подписки сами по себе не заменяют заявление о возврате.</w:t>
      </w:r>
    </w:p>
    <w:p>
      <w:r>
        <w:t>5.2. До активации оплаченного периода возвращается вся сумма. Дополнительно для индивидуального тарифа действует добровольная гарантия: в течение 7 календарных дней после активации возвращается вся сумма, если пользователь не запускал успешно завершённую генерацию учебных материалов в этом периоде. Эта гарантия не ограничивает предусмотренные законом права.</w:t>
      </w:r>
    </w:p>
    <w:p>
      <w:r>
        <w:t>5.3. При обычном добровольном отказе после активации возвращается оплата за оставшуюся часть периода. Для индивидуального тарифа: сумма возврата = уплаченная сумма × оставшаяся длительность доступа / полная оплаченная длительность; расчёт ведётся с точностью до часа и округляется до тиына. Отсчёт прекращается в момент получения заявления. Дополнительные штрафы и комиссии за отказ не удерживаются. Если обязательные нормы дают Заказчику право на большую сумму, применяется больший размер возврата.</w:t>
      </w:r>
    </w:p>
    <w:p>
      <w:r>
        <w:t>5.4. При двойном списании или ошибочной оплате возвращается излишне полученная сумма. При непредоставлении доступа по вине Исполнителя возвращается оплата за непредоставленный период; если услуга вообще не была предоставлена, возвращается полная сумма. Претензии к недостаткам услуги рассматриваются отдельно, без подмены их обычным добровольным отказом.</w:t>
      </w:r>
    </w:p>
    <w:p>
      <w:r>
        <w:t>5.5. Для школьной подписки действует тот же принцип возврата за непредоставленный период. Распределение цены по этапам и отдельным фактически выполненным работам возможно только при его согласовании до оплаты; расходы подтверждаются документально. При отсутствии такого распределения используется пропорция оставшейся длительности доступа.</w:t>
      </w:r>
    </w:p>
    <w:p>
      <w:r>
        <w:t>5.6. В заявлении достаточно указать имя или наименование плательщика, email учётной записи, дату, сумму и номер платежа (если известен), причину обращения и желаемый способ связи. Чек прикладывается при наличии; его отсутствие не исключает проверку платежа по другим сведениям. Для подтверждения личности используются соразмерные способы; копия удостоверения личности по умолчанию не запрашивается. Нельзя отправлять полный номер карты, CVV/CVC, пароль или коды подтверждения.</w:t>
      </w:r>
    </w:p>
    <w:p>
      <w:r>
        <w:t>5.7. Мотивированный ответ направляется в течение 10 календарных дней со дня получения обращения. Исполнитель передаёт распоряжение на согласованный возврат платёжному провайдеру не позднее 5 рабочих дней после принятия решения, с соблюдением более коротких обязательных сроков, если они применимы. Эти сроки не продлевают сроки, установленные законом.</w:t>
      </w:r>
    </w:p>
    <w:p>
      <w:r>
        <w:t>5.8. Карточный платёж возвращается безналично на карту, с которой произведена оплата; наличная выдача по такому платежу не производится. Платёж по счёту возвращается на счёт плательщика. При закрытой карте или счёте порядок согласуется с банком и платёжным провайдером. Срок отражения возврата зависит от банка; по запросу Исполнитель сообщает идентификатор и статус операции и помогает разыскать возврат.</w:t>
      </w:r>
    </w:p>
    <w:p>
      <w:pPr>
        <w:pStyle w:val="Heading1"/>
      </w:pPr>
      <w:r>
        <w:t>6. Соотношение с офертой</w:t>
      </w:r>
    </w:p>
    <w:p>
      <w:r>
        <w:t>6.1. Настоящие правила применяются совместно с опубликованной офертой Ustaz Studio. Для конкретного заказа сохраняются цена, срок и условия, действовавшие при его оплате. Новая редакция не уменьшает уже приобретённые права.</w:t>
      </w:r>
    </w:p>
    <w:p>
      <w:r>
        <w:t>6.2. Отправка претензии в поддержку не лишает Заказчика права обратиться в уполномоченный орган, организацию защиты прав потребителей или компетентный суд.</w:t>
      </w:r>
    </w:p>
    <w:p>
      <w:pPr>
        <w:pStyle w:val="Heading1"/>
      </w:pPr>
      <w:r>
        <w:t>Адрес, реквизиты и контакты</w:t>
      </w:r>
    </w:p>
    <w:tbl>
      <w:tblPr>
        <w:tblStyle w:val="TableGrid"/>
        <w:tblW w:type="auto" w:w="0"/>
        <w:jc w:val="center"/>
        <w:tblLook w:firstColumn="1" w:firstRow="1" w:lastColumn="0" w:lastRow="0" w:noHBand="0" w:noVBand="1" w:val="04A0"/>
      </w:tblPr>
      <w:tblGrid>
        <w:gridCol w:w="4847"/>
        <w:gridCol w:w="4847"/>
      </w:tblGrid>
      <w:tr>
        <w:trPr>
          <w:tblHeader/>
        </w:trPr>
        <w:tc>
          <w:tcPr>
            <w:tcW w:type="dxa" w:w="4847"/>
            <w:shd w:fill="21564E"/>
          </w:tcPr>
          <w:p>
            <w:pPr>
              <w:spacing w:after="100" w:before="80"/>
            </w:pPr>
            <w:r>
              <w:rPr>
                <w:b/>
                <w:color w:val="FFFFFF"/>
                <w:sz w:val="18"/>
              </w:rPr>
              <w:t>Реквизит</w:t>
            </w:r>
          </w:p>
        </w:tc>
        <w:tc>
          <w:tcPr>
            <w:tcW w:type="dxa" w:w="4847"/>
            <w:shd w:fill="21564E"/>
          </w:tcPr>
          <w:p>
            <w:pPr>
              <w:spacing w:after="100" w:before="80"/>
            </w:pPr>
            <w:r>
              <w:rPr>
                <w:b/>
                <w:color w:val="FFFFFF"/>
                <w:sz w:val="18"/>
              </w:rPr>
              <w:t>Значение</w:t>
            </w:r>
          </w:p>
        </w:tc>
      </w:tr>
      <w:tr>
        <w:trPr>
          <w:cantSplit/>
        </w:trPr>
        <w:tc>
          <w:tcPr>
            <w:tcW w:type="dxa" w:w="4847"/>
          </w:tcPr>
          <w:p>
            <w:pPr>
              <w:spacing w:after="100" w:before="80"/>
            </w:pPr>
            <w:r>
              <w:rPr>
                <w:sz w:val="18"/>
              </w:rPr>
            </w:r>
            <w:r>
              <w:rPr>
                <w:sz w:val="18"/>
              </w:rPr>
              <w:t>Наименование</w:t>
            </w:r>
          </w:p>
        </w:tc>
        <w:tc>
          <w:tcPr>
            <w:tcW w:type="dxa" w:w="4847"/>
          </w:tcPr>
          <w:p>
            <w:pPr>
              <w:spacing w:after="100" w:before="80"/>
            </w:pPr>
            <w:r>
              <w:rPr>
                <w:sz w:val="18"/>
              </w:rPr>
            </w:r>
            <w:r>
              <w:rPr>
                <w:sz w:val="18"/>
              </w:rPr>
              <w:t>Товарищество с ограниченной ответственностью «Хастлерс»</w:t>
            </w:r>
          </w:p>
        </w:tc>
      </w:tr>
      <w:tr>
        <w:trPr>
          <w:cantSplit/>
        </w:trPr>
        <w:tc>
          <w:tcPr>
            <w:tcW w:type="dxa" w:w="4847"/>
          </w:tcPr>
          <w:p>
            <w:pPr>
              <w:spacing w:after="100" w:before="80"/>
            </w:pPr>
            <w:r>
              <w:rPr>
                <w:sz w:val="18"/>
              </w:rPr>
            </w:r>
            <w:r>
              <w:rPr>
                <w:sz w:val="18"/>
              </w:rPr>
              <w:t>БИН</w:t>
            </w:r>
          </w:p>
        </w:tc>
        <w:tc>
          <w:tcPr>
            <w:tcW w:type="dxa" w:w="4847"/>
          </w:tcPr>
          <w:p>
            <w:pPr>
              <w:spacing w:after="100" w:before="80"/>
            </w:pPr>
            <w:r>
              <w:rPr>
                <w:sz w:val="18"/>
              </w:rPr>
            </w:r>
            <w:r>
              <w:rPr>
                <w:sz w:val="18"/>
              </w:rPr>
              <w:t>260740029223</w:t>
            </w:r>
          </w:p>
        </w:tc>
      </w:tr>
      <w:tr>
        <w:trPr>
          <w:cantSplit/>
        </w:trPr>
        <w:tc>
          <w:tcPr>
            <w:tcW w:type="dxa" w:w="4847"/>
          </w:tcPr>
          <w:p>
            <w:pPr>
              <w:spacing w:after="100" w:before="80"/>
            </w:pPr>
            <w:r>
              <w:rPr>
                <w:sz w:val="18"/>
              </w:rPr>
            </w:r>
            <w:r>
              <w:rPr>
                <w:sz w:val="18"/>
              </w:rPr>
              <w:t>Юридический адрес</w:t>
            </w:r>
          </w:p>
        </w:tc>
        <w:tc>
          <w:tcPr>
            <w:tcW w:type="dxa" w:w="4847"/>
          </w:tcPr>
          <w:p>
            <w:pPr>
              <w:spacing w:after="100" w:before="80"/>
            </w:pPr>
            <w:r>
              <w:rPr>
                <w:sz w:val="18"/>
              </w:rPr>
              <w:t>010000, Республика Казахстан, г. Астана, район Нұра, улица Чингиз Айтматов (Шыңғыс Айтматов), дом 36, подъезд 19, квартира 170</w:t>
            </w:r>
          </w:p>
        </w:tc>
      </w:tr>
      <w:tr>
        <w:trPr>
          <w:cantSplit/>
        </w:trPr>
        <w:tc>
          <w:tcPr>
            <w:tcW w:type="dxa" w:w="4847"/>
          </w:tcPr>
          <w:p>
            <w:pPr>
              <w:spacing w:after="100" w:before="80"/>
            </w:pPr>
            <w:r>
              <w:rPr>
                <w:sz w:val="18"/>
              </w:rPr>
            </w:r>
            <w:r>
              <w:rPr>
                <w:sz w:val="18"/>
              </w:rPr>
              <w:t>ИИК (KZT)</w:t>
            </w:r>
          </w:p>
        </w:tc>
        <w:tc>
          <w:tcPr>
            <w:tcW w:type="dxa" w:w="4847"/>
          </w:tcPr>
          <w:p>
            <w:pPr>
              <w:spacing w:after="100" w:before="80"/>
            </w:pPr>
            <w:r>
              <w:rPr>
                <w:sz w:val="18"/>
              </w:rPr>
            </w:r>
            <w:r>
              <w:rPr>
                <w:sz w:val="18"/>
              </w:rPr>
              <w:t>KZ61551Z600008051443</w:t>
            </w:r>
          </w:p>
        </w:tc>
      </w:tr>
      <w:tr>
        <w:trPr>
          <w:cantSplit/>
        </w:trPr>
        <w:tc>
          <w:tcPr>
            <w:tcW w:type="dxa" w:w="4847"/>
          </w:tcPr>
          <w:p>
            <w:pPr>
              <w:spacing w:after="100" w:before="80"/>
            </w:pPr>
            <w:r>
              <w:rPr>
                <w:sz w:val="18"/>
              </w:rPr>
            </w:r>
            <w:r>
              <w:rPr>
                <w:sz w:val="18"/>
              </w:rPr>
              <w:t>Банк</w:t>
            </w:r>
          </w:p>
        </w:tc>
        <w:tc>
          <w:tcPr>
            <w:tcW w:type="dxa" w:w="4847"/>
          </w:tcPr>
          <w:p>
            <w:pPr>
              <w:spacing w:after="100" w:before="80"/>
            </w:pPr>
            <w:r>
              <w:rPr>
                <w:sz w:val="18"/>
              </w:rPr>
            </w:r>
            <w:r>
              <w:rPr>
                <w:sz w:val="18"/>
              </w:rPr>
              <w:t>АО «Фридом Банк Казахстан»</w:t>
            </w:r>
          </w:p>
        </w:tc>
      </w:tr>
      <w:tr>
        <w:trPr>
          <w:cantSplit/>
        </w:trPr>
        <w:tc>
          <w:tcPr>
            <w:tcW w:type="dxa" w:w="4847"/>
          </w:tcPr>
          <w:p>
            <w:pPr>
              <w:spacing w:after="100" w:before="80"/>
            </w:pPr>
            <w:r>
              <w:rPr>
                <w:sz w:val="18"/>
              </w:rPr>
            </w:r>
            <w:r>
              <w:rPr>
                <w:sz w:val="18"/>
              </w:rPr>
              <w:t>БИК</w:t>
            </w:r>
          </w:p>
        </w:tc>
        <w:tc>
          <w:tcPr>
            <w:tcW w:type="dxa" w:w="4847"/>
          </w:tcPr>
          <w:p>
            <w:pPr>
              <w:spacing w:after="100" w:before="80"/>
            </w:pPr>
            <w:r>
              <w:rPr>
                <w:sz w:val="18"/>
              </w:rPr>
            </w:r>
            <w:r>
              <w:rPr>
                <w:sz w:val="18"/>
              </w:rPr>
              <w:t>KSNVKZKA</w:t>
            </w:r>
          </w:p>
        </w:tc>
      </w:tr>
      <w:tr>
        <w:trPr>
          <w:cantSplit/>
        </w:trPr>
        <w:tc>
          <w:tcPr>
            <w:tcW w:type="dxa" w:w="4847"/>
          </w:tcPr>
          <w:p>
            <w:pPr>
              <w:spacing w:after="100" w:before="80"/>
            </w:pPr>
            <w:r>
              <w:rPr>
                <w:sz w:val="18"/>
              </w:rPr>
            </w:r>
            <w:r>
              <w:rPr>
                <w:sz w:val="18"/>
              </w:rPr>
              <w:t>Сайт</w:t>
            </w:r>
          </w:p>
        </w:tc>
        <w:tc>
          <w:tcPr>
            <w:tcW w:type="dxa" w:w="4847"/>
          </w:tcPr>
          <w:p>
            <w:pPr>
              <w:spacing w:after="100" w:before="80"/>
            </w:pPr>
            <w:r>
              <w:rPr>
                <w:sz w:val="18"/>
              </w:rPr>
            </w:r>
            <w:r>
              <w:rPr>
                <w:sz w:val="18"/>
              </w:rPr>
              <w:t>https://ustaz.studio/</w:t>
            </w:r>
          </w:p>
        </w:tc>
      </w:tr>
      <w:tr>
        <w:trPr>
          <w:cantSplit/>
        </w:trPr>
        <w:tc>
          <w:tcPr>
            <w:tcW w:type="dxa" w:w="4847"/>
          </w:tcPr>
          <w:p>
            <w:pPr>
              <w:spacing w:after="100" w:before="80"/>
            </w:pPr>
            <w:r>
              <w:rPr>
                <w:sz w:val="18"/>
              </w:rPr>
            </w:r>
            <w:r>
              <w:rPr>
                <w:sz w:val="18"/>
              </w:rPr>
              <w:t>Электронная почта</w:t>
            </w:r>
          </w:p>
        </w:tc>
        <w:tc>
          <w:tcPr>
            <w:tcW w:type="dxa" w:w="4847"/>
          </w:tcPr>
          <w:p>
            <w:pPr>
              <w:spacing w:after="100" w:before="80"/>
            </w:pPr>
            <w:r>
              <w:rPr>
                <w:sz w:val="18"/>
              </w:rPr>
            </w:r>
            <w:r>
              <w:rPr>
                <w:sz w:val="18"/>
              </w:rPr>
              <w:t>abukawrld@gmail.com</w:t>
            </w:r>
          </w:p>
        </w:tc>
      </w:tr>
      <w:tr>
        <w:trPr>
          <w:cantSplit/>
        </w:trPr>
        <w:tc>
          <w:tcPr>
            <w:tcW w:type="dxa" w:w="4847"/>
          </w:tcPr>
          <w:p>
            <w:pPr>
              <w:spacing w:after="100" w:before="80"/>
            </w:pPr>
            <w:r>
              <w:rPr>
                <w:sz w:val="18"/>
              </w:rPr>
            </w:r>
            <w:r>
              <w:rPr>
                <w:sz w:val="18"/>
              </w:rPr>
              <w:t>Телефон поддержки</w:t>
            </w:r>
          </w:p>
        </w:tc>
        <w:tc>
          <w:tcPr>
            <w:tcW w:type="dxa" w:w="4847"/>
          </w:tcPr>
          <w:p>
            <w:pPr>
              <w:spacing w:after="100" w:before="80"/>
            </w:pPr>
            <w:r>
              <w:rPr>
                <w:sz w:val="18"/>
              </w:rPr>
            </w:r>
            <w:r>
              <w:rPr>
                <w:sz w:val="18"/>
              </w:rPr>
              <w:t>+7 705 633 42 63</w:t>
            </w:r>
          </w:p>
        </w:tc>
      </w:tr>
    </w:tbl>
    <w:p/>
    <w:sectPr w:rsidR="00FC693F" w:rsidRPr="0006063C" w:rsidSect="00034616">
      <w:headerReference w:type="default" r:id="rId9"/>
      <w:footerReference w:type="default" r:id="rId10"/>
      <w:pgSz w:w="11906" w:h="16838"/>
      <w:pgMar w:top="1020" w:right="1020"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Редакция • 05.10.2026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0746F"/>
        <w:sz w:val="18"/>
      </w:rPr>
      <w:t>USTAZ STUDIO  /  ТОО «Хастлерс»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21564E"/>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21564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color w:val="21564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40"/>
    </w:pPr>
    <w:rPr>
      <w:rFonts w:asciiTheme="majorHAnsi" w:eastAsiaTheme="majorEastAsia" w:hAnsiTheme="majorHAnsi" w:cstheme="majorBidi" w:ascii="Arial" w:hAnsi="Arial"/>
      <w:i/>
      <w:iCs/>
      <w:color w:val="21564E"/>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оплаты, предоставления доступа и возврата</dc:title>
  <dc:subject>Ustaz Studio — документы для подключения оплаты</dc:subject>
  <dc:creator>ТОО «Хастлерс»</dc:creator>
  <cp:keywords/>
  <dc:description>Финальная русская редакция. Сведения об участии Astana Hub внесены по свидетельству № 3807 от 28.08.2026, предоставленному владельцем.</dc:description>
  <cp:lastModifiedBy/>
  <cp:revision>1</cp:revision>
  <dcterms:created xsi:type="dcterms:W3CDTF">2013-12-23T23:15:00Z</dcterms:created>
  <dcterms:modified xsi:type="dcterms:W3CDTF">2013-12-23T23:15:00Z</dcterms:modified>
  <cp:category/>
</cp:coreProperties>
</file>