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Публичная оферта на предоставление доступа к Ustaz Studio</w:t>
      </w:r>
    </w:p>
    <w:p>
      <w:pPr>
        <w:pStyle w:val="Subtitle"/>
      </w:pPr>
      <w:r>
        <w:rPr/>
        <w:t>Доступ к сервису для физических лиц и организаций Республики Казахстан</w:t>
      </w:r>
    </w:p>
    <w:p>
      <w:r>
        <w:rPr/>
        <w:t>Редакция от 05.10.2026. Применяется с момента размещения на https://ustaz.studio/ к отношениям и заказам, оформленным после размещения этой редакции; ранее приобретённые права сохраняются.</w:t>
      </w:r>
    </w:p>
    <w:p>
      <w:pPr>
        <w:pStyle w:val="Heading1"/>
      </w:pPr>
      <w:r>
        <w:t>1. Общие положения</w:t>
      </w:r>
    </w:p>
    <w:p>
      <w:r>
        <w:rPr/>
        <w:t>1.1. Товарищество с ограниченной ответственностью «Хастлерс», БИН 260740029223 (Исполнитель), предлагает совершеннолетним дееспособным физическим лицам и юридическим лицам в Республике Казахстан (Заказчик) заключить договор доступа к веб-сервису Ustaz Studio на условиях настоящей оферты. Исполнитель зарегистрирован в качестве участника «Астана Хаб»: свидетельство № 3807 от 28.08.2026, срок действия, указанный в свидетельстве, — до 31.07.2028.</w:t>
      </w:r>
    </w:p>
    <w:p>
      <w:r>
        <w:t>1.2. Сервис доступен по адресу https://ustaz.studio/. Оферта определяет условия платной подписки и применяется совместно с согласованным заказом, правилами оплаты и политикой конфиденциальности. Для школьного заказа отдельный подписанный договор имеет приоритет в части специально согласованных условий, не противоречащих обязательным нормам.</w:t>
      </w:r>
    </w:p>
    <w:p>
      <w:r>
        <w:t>1.3. Договор заключается по правилам об оферте и акцепте, предусмотренным гражданским законодательством Республики Казахстан. Акцепт — успешная оплата выбранного заказа после предоставления возможности ознакомиться с условиями. Создание аккаунта, просмотр сайта или отправка заявки школы сами по себе не являются акцептом платной услуги.</w:t>
      </w:r>
    </w:p>
    <w:p>
      <w:r>
        <w:t>1.4. Оплачивая заказ от имени юридического лица, представитель подтверждает полномочия. Если для закупки нужен отдельный договор или специальная процедура, отношения оформляются соответствующим образом до предоставления услуги.</w:t>
      </w:r>
    </w:p>
    <w:p>
      <w:pPr>
        <w:pStyle w:val="Heading1"/>
      </w:pPr>
      <w:r>
        <w:t>2. Предмет и возможности сервиса</w:t>
      </w:r>
    </w:p>
    <w:p>
      <w:r>
        <w:t>2.1. Исполнитель предоставляет на оплаченный период доступ через браузер к функциям автоматизированной подготовки учебных материалов и связанному личному кабинету. Пользователь получает ограниченное неисключительное право пользоваться программой для своей педагогической деятельности либо деятельности согласованной школы; права на исходный код и саму платформу не передаются.</w:t>
      </w:r>
    </w:p>
    <w:p>
      <w:r>
        <w:t>2.2. Индивидуальный тариф включает доступ к генераторам КМЖ, СОР/СОЧ, рабочих листов и презентаций, а также архиву в пределах доступного каталога учебников, предметов и классов. Документы создаются на казахском или русском языке; поддерживаются выдаваемые интерфейсом форматы DOCX и PPTX. Школьный тариф дополнительно может включать роли администрации и аналитику — по согласованному заказу.</w:t>
      </w:r>
    </w:p>
    <w:p>
      <w:r>
        <w:t>2.3. Сервис использует искусственный интеллект, включая Google Gemini, и учебный контекст. Созданный материал может потребовать правок и проверки фактов. Автоматический анализ не заменяет методическую проверку педагогом и не означает официального одобрения государственными органами.</w:t>
      </w:r>
    </w:p>
    <w:p>
      <w:r>
        <w:t>2.4. Количественные лимиты, если они устанавливаются для тарифа, должны быть указаны до оплаты. Технические ограничения частоты запросов обеспечивают безопасность и справедливое использование; они не должны скрыто превращать оплаченный доступ в иной объём услуги. Безлимитная генерация настоящей офертой не обещается.</w:t>
      </w:r>
    </w:p>
    <w:p>
      <w:r>
        <w:t>2.5. Сервис не осуществляет обучение учащихся, не выдаёт документы об образовании и не продаёт экземпляры учебников. Доставка материальных товаров отсутствует.</w:t>
      </w:r>
    </w:p>
    <w:p>
      <w:pPr>
        <w:pStyle w:val="Heading1"/>
      </w:pPr>
      <w:r>
        <w:t>3. Регистрация и оформление заказа</w:t>
      </w:r>
    </w:p>
    <w:p>
      <w:r>
        <w:t>3.1. Для личного доступа предоставляются имя, фамилия, email и данные для входа; подтверждение email выполняется по процедуре сервиса. Телефон требуется в заявке школы или при согласованном взаимодействии с поддержкой. ИИН физического лица и адрес доставки не являются стандартными условиями регистрации.</w:t>
      </w:r>
    </w:p>
    <w:p>
      <w:r>
        <w:t>3.2. Заказчик предоставляет достоверные сведения, сохраняет доступ к указанной почте и не передаёт учётную запись посторонним. В школьном тарифе каждому подключаемому пользователю назначаются согласованные права; общая передача одного личного пароля не заменяет приобретение школьного доступа.</w:t>
      </w:r>
    </w:p>
    <w:p>
      <w:r>
        <w:t>3.3. Перед оплатой Заказчику сообщаются название тарифа, цена в тенге, срок, доступные функции, действующие лимиты и правила возврата. Исполнитель сохраняет сведения об оплаченном заказе и применимой редакции условий. Копию условий можно запросить на email поддержки.</w:t>
      </w:r>
    </w:p>
    <w:p>
      <w:r>
        <w:t>3.4. При регистрации, отправке заявки и использовании функций Заказчик знакомится с политикой конфиденциальности и предоставляет необходимые согласия отдельно от акцепта платной оферты.</w:t>
      </w:r>
    </w:p>
    <w:p>
      <w:pPr>
        <w:pStyle w:val="Heading1"/>
      </w:pPr>
      <w:r>
        <w:t>4. Цена и расчёты</w:t>
      </w:r>
    </w:p>
    <w:p>
      <w:r>
        <w:rPr/>
        <w:t>4.1. Индивидуальный доступ для одного пользователя стоит 7 000 (семь тысяч) тенге за 30 последовательных календарных дней с момента активации.</w:t>
      </w:r>
    </w:p>
    <w:p>
      <w:r>
        <w:t>4.2. Для юридических лиц, включая школы, цена, срок, число пользователей, состав функций, лимиты, порядок активации и закрывающие документы согласуются после заявки на сайте и фиксируются в договоре, спецификации или счёте с приложенными условиями до оплаты. Заявка сама по себе не создаёт обязанности оплатить услуги.</w:t>
      </w:r>
    </w:p>
    <w:p>
      <w:r>
        <w:rPr/>
        <w:t>4.3. Исполнитель зарегистрирован в качестве участника «Астана Хаб»: свидетельство № 3807 от 28.08.2026, срок действия, указанный в свидетельстве, — до 31.07.2028. Оплата доступа к Ustaz Studio производится без НДС в рамках освобождения, предусмотренного подпунктом 34 статьи 474 Налогового кодекса Республики Казахстан, при соблюдении Исполнителем условий статьи 17 этого Кодекса. Освобождение не является нулевой ставкой НДС. Цена для физического лица является окончательной и не увеличивается на НДС сверх суммы, показанной до оплаты. При изменении налогового статуса цена уже оплаченного заказа не пересматривается; применимый налоговый режим отражается в расчётных документах.</w:t>
      </w:r>
    </w:p>
    <w:p>
      <w:r>
        <w:t>4.4. Оплата индивидуального доступа производится через Freedom Pay в порядке 100-процентной предоплаты; поддерживаемые карты и способы указаны на платёжной странице. Организация также может оплатить согласованный счёт банковским переводом. Расчёты производятся в тенге.</w:t>
      </w:r>
    </w:p>
    <w:p>
      <w:r>
        <w:t>4.5. Подписка не предусматривает автоматического списания за следующий период. Для продления требуется новый подтверждённый заказ. После окончания периода платные функции прекращаются до новой оплаты; это не отменяет права использовать ранее правомерно скачанные материалы.</w:t>
      </w:r>
    </w:p>
    <w:p>
      <w:r>
        <w:t>4.6. Изменение цены применяется только к будущим заказам и не увеличивает стоимость уже оплаченного периода. Специальные условия школы фиксируются до оплаты; оплаченный заказ нельзя односторонне ухудшить.</w:t>
      </w:r>
    </w:p>
    <w:p>
      <w:pPr>
        <w:pStyle w:val="Heading1"/>
      </w:pPr>
      <w:r>
        <w:t>5. Предоставление доступа и поддержка</w:t>
      </w:r>
    </w:p>
    <w:p>
      <w:r>
        <w:t>5.1. После подтверждения успешной оплаты Freedom Pay доступ активируется в личном кабинете, как правило, в течение 15 минут, но не позднее 1 рабочего дня. При оплате юридическим лицом по счёту доступ предоставляется не позднее 1 рабочего дня после зачисления средств, если в согласованном заказе не указана более поздняя дата. Оплаченный период отсчитывается от фактической активации, а не от времени устранения задержки платежа.</w:t>
      </w:r>
    </w:p>
    <w:p>
      <w:r>
        <w:t>5.2. Если средства списаны, а доступ отсутствует, Заказчик сообщает в поддержку сведения о платеже и аккаунте. Исполнитель проверяет статус и предоставляет доступ либо возвращает оплату, если оказание услуги невозможно. Доступ не подтверждается одним лишь возвратом браузера с платёжной страницы.</w:t>
      </w:r>
    </w:p>
    <w:p>
      <w:r>
        <w:t>5.3. Услуга доступа оказывается в течение оплаченного периода; активация не означает, что весь период оказан в момент подключения. Заказчик самостоятельно запускает генерацию и скачивает материалы. Стороны могут использовать журналы доступа и платежей как доказательства с правом их оспаривания.</w:t>
      </w:r>
    </w:p>
    <w:p>
      <w:r>
        <w:t>5.4. Для работы нужны интернет и актуальный браузер. Плановые работы по возможности проводятся с предварительным уведомлением в интерфейсе или на email. При непрерывной недоступности основных оплаченных функций по вине Исполнителя более 24 часов Заказчик выбирает продление на время недоступности или возврат за непредоставленную часть; иные права по закону сохраняются.</w:t>
      </w:r>
    </w:p>
    <w:p>
      <w:r>
        <w:t>5.5. Поддержка: abukawrld@gmail.com, +7 705 633 42 63. Приём email круглосуточный; ответы по рабочим дням 09:00–18:00, UTC+5. Целевой срок первого ответа — 1 рабочий день. Срок рассмотрения претензии указан в разделе 8.</w:t>
      </w:r>
    </w:p>
    <w:p>
      <w:r>
        <w:t>5.6. Для школы порядок актов и иных закрывающих документов согласуется в заказе. Отсутствие возражений или неиспользование сервиса не означает отказа от законных требований к качеству.</w:t>
      </w:r>
    </w:p>
    <w:p>
      <w:pPr>
        <w:pStyle w:val="Heading1"/>
      </w:pPr>
      <w:r>
        <w:t>6. Права, обязанности и материалы</w:t>
      </w:r>
    </w:p>
    <w:p>
      <w:r>
        <w:t>6.1. Исполнитель обеспечивает предусмотренные заказом функции и обрабатывает обращения. Заказчик вправе использовать и редактировать полученные материалы в педагогической деятельности с соблюдением прав на исходные учебники, изображения и другие объекты третьих лиц.</w:t>
      </w:r>
    </w:p>
    <w:p>
      <w:r>
        <w:t>6.2. Заказчик проверяет результаты до использования, не загружает незаконные материалы, вредоносный код, чужие персональные данные без основания и сведения учащихся, позволяющие их идентифицировать. Запрещены обход ограничений, вмешательство в работу системы и перепродажа индивидуального доступа.</w:t>
      </w:r>
    </w:p>
    <w:p>
      <w:r>
        <w:t>6.3. Права Заказчика на его исходные материалы сохраняются. Он разрешает Исполнителю и раскрытым в политике техническим поставщикам обрабатывать их в объёме, необходимом для запрошенных функций. Это не даёт Исполнителю права публично распространять частные документы Заказчика или использовать их в рекламе без отдельного разрешения.</w:t>
      </w:r>
    </w:p>
    <w:p>
      <w:r>
        <w:t>6.4. Исполнитель не гарантирует исключительность или охраноспособность результата ИИ. Возможность использовать материалы сохраняется после завершения подписки в пределах прав на использованные источники.</w:t>
      </w:r>
    </w:p>
    <w:p>
      <w:r>
        <w:t>6.5. При подтверждённом нарушении или угрозе безопасности допускается соразмерное ограничение доступа с сообщением причины и способа обжалования; при срочной угрозе сообщение направляется после ограничения. Сам факт блокировки не означает автоматического удержания всей предоплаты.</w:t>
      </w:r>
    </w:p>
    <w:p>
      <w:pPr>
        <w:pStyle w:val="Heading1"/>
      </w:pPr>
      <w:r>
        <w:t>7. Персональные данные</w:t>
      </w:r>
    </w:p>
    <w:p>
      <w:r>
        <w:t>7.1. Состав данных, получатели, использование Gemini, служебной почты, технических cookies и права пользователя описаны в политике конфиденциальности. Обработка для рекламы не включается в обязательные условия платного доступа.</w:t>
      </w:r>
    </w:p>
    <w:p>
      <w:r>
        <w:t>7.2. Школа обеспечивает законность предоставления данных своих работников и полномочия администраторов. Исполнитель сохраняет собственные обязанности по защите данных. Администраторы школьного кабинета получают согласованный доступ к профилям и учебной активности подключённых пользователей.</w:t>
      </w:r>
    </w:p>
    <w:p>
      <w:r>
        <w:t>7.3. Загрузка идентифицирующих данных несовершеннолетних не является предусмотренным назначением сервиса. Для примеров используются обезличенные или вымышленные обозначения.</w:t>
      </w:r>
    </w:p>
    <w:p>
      <w:pPr>
        <w:pStyle w:val="Heading1"/>
      </w:pPr>
      <w:r>
        <w:t>8. Отказ, недостатки и возврат</w:t>
      </w:r>
    </w:p>
    <w:p>
      <w:r>
        <w:t>8.1. Заказчик может обратиться за прекращением доступа и возвратом по адресу abukawrld@gmail.com. Отключение личного кабинета или истечение подписки сами по себе не заменяют заявление о возврате.</w:t>
      </w:r>
    </w:p>
    <w:p>
      <w:r>
        <w:t>8.2. До активации оплаченного периода возвращается вся сумма. Дополнительно для индивидуального тарифа действует добровольная гарантия: в течение 7 календарных дней после активации возвращается вся сумма, если пользователь не запускал успешно завершённую генерацию учебных материалов в этом периоде. Эта гарантия не ограничивает предусмотренные законом права.</w:t>
      </w:r>
    </w:p>
    <w:p>
      <w:r>
        <w:t>8.3. При обычном добровольном отказе после активации возвращается оплата за оставшуюся часть периода. Для индивидуального тарифа: сумма возврата = уплаченная сумма × оставшаяся длительность доступа / полная оплаченная длительность; расчёт ведётся с точностью до часа и округляется до тиына. Отсчёт прекращается в момент получения заявления. Дополнительные штрафы и комиссии за отказ не удерживаются. Если обязательные нормы дают Заказчику право на большую сумму, применяется больший размер возврата.</w:t>
      </w:r>
    </w:p>
    <w:p>
      <w:r>
        <w:t>8.4. При двойном списании или ошибочной оплате возвращается излишне полученная сумма. При непредоставлении доступа по вине Исполнителя возвращается оплата за непредоставленный период; если услуга вообще не была предоставлена, возвращается полная сумма. Претензии к недостаткам услуги рассматриваются отдельно, без подмены их обычным добровольным отказом.</w:t>
      </w:r>
    </w:p>
    <w:p>
      <w:r>
        <w:t>8.5. Для школьной подписки действует тот же принцип возврата за непредоставленный период. Распределение цены по этапам и отдельным фактически выполненным работам возможно только при его согласовании до оплаты; расходы подтверждаются документально. При отсутствии такого распределения используется пропорция оставшейся длительности доступа.</w:t>
      </w:r>
    </w:p>
    <w:p>
      <w:r>
        <w:t>8.6. В заявлении достаточно указать имя или наименование плательщика, email учётной записи, дату, сумму и номер платежа (если известен), причину обращения и желаемый способ связи. Чек прикладывается при наличии; его отсутствие не исключает проверку платежа по другим сведениям. Для подтверждения личности используются соразмерные способы; копия удостоверения личности по умолчанию не запрашивается. Нельзя отправлять полный номер карты, CVV/CVC, пароль или коды подтверждения.</w:t>
      </w:r>
    </w:p>
    <w:p>
      <w:r>
        <w:t>8.7. Мотивированный ответ направляется в течение 10 календарных дней со дня получения обращения. Исполнитель передаёт распоряжение на согласованный возврат платёжному провайдеру не позднее 5 рабочих дней после принятия решения, с соблюдением более коротких обязательных сроков, если они применимы. Эти сроки не продлевают сроки, установленные законом.</w:t>
      </w:r>
    </w:p>
    <w:p>
      <w:r>
        <w:t>8.8. Карточный платёж возвращается безналично на карту, с которой произведена оплата; наличная выдача по такому платежу не производится. Платёж по счёту возвращается на счёт плательщика. При закрытой карте или счёте порядок согласуется с банком и платёжным провайдером. Срок отражения возврата зависит от банка; по запросу Исполнитель сообщает идентификатор и статус операции и помогает разыскать возврат.</w:t>
      </w:r>
    </w:p>
    <w:p>
      <w:pPr>
        <w:pStyle w:val="Heading1"/>
      </w:pPr>
      <w:r>
        <w:t>9. Ответственность и разрешение споров</w:t>
      </w:r>
    </w:p>
    <w:p>
      <w:r>
        <w:t>9.1. Стороны отвечают за нарушение обязательств по законодательству Республики Казахстан. Предупреждение о возможных ошибках ИИ не освобождает Исполнителя от обязанности предоставить оплаченный функционал и рассмотреть обоснованные требования к услуге.</w:t>
      </w:r>
    </w:p>
    <w:p>
      <w:r>
        <w:t>9.2. Сбой поставщика или интернет-соединения не признаётся автоматически непреодолимой силой. При наличии обстоятельств непреодолимой силы пострадавшая сторона уведомляет другую и принимает разумные меры; расчёты за непредоставленные услуги разрешаются по закону и условиям возврата.</w:t>
      </w:r>
    </w:p>
    <w:p>
      <w:r>
        <w:t>9.3. Претензии направляются на abukawrld@gmail.com либо по юридическому адресу Исполнителя. Мотивированный ответ предоставляется в течение 10 календарных дней. Заказчик вправе использовать предусмотренные законом внесудебные и судебные способы защиты.</w:t>
      </w:r>
    </w:p>
    <w:p>
      <w:r>
        <w:t>9.4. Споры рассматриваются компетентным судом по правилам законодательства Республики Казахстан. Условие об исключительном обращении потребителя только по месту нахождения Исполнителя не устанавливается. Закон о защите прав потребителей применяется к лицам и отношениям, подпадающим под его действие; права юридических лиц регулируются применимыми нормами и договором.</w:t>
      </w:r>
    </w:p>
    <w:p>
      <w:pPr>
        <w:pStyle w:val="Heading1"/>
      </w:pPr>
      <w:r>
        <w:t>10. Срок и изменение условий</w:t>
      </w:r>
    </w:p>
    <w:p>
      <w:r>
        <w:t>10.1. Договор действует с акцепта до исполнения обязательств; право платного доступа ограничено приобретённым периодом. Обязательства по расчётам, возвратам, конфиденциальности и защите прав сохраняются в применимой части после окончания доступа.</w:t>
      </w:r>
    </w:p>
    <w:p>
      <w:r>
        <w:t>10.2. Новая редакция публикуется с датой начала действия и применяется к будущим заказам. Для оплаченного периода действуют согласованные при оплате условия, кроме обязательных изменений закона или улучшений, принятых Заказчиком.</w:t>
      </w:r>
    </w:p>
    <w:p>
      <w:r>
        <w:t>10.3. Если отдельное условие противоречит обязательной норме, применяется закон; остальные условия сохраняются. Прекращение продаж новых подписок не отменяет исполнения оплаченных обязательств.</w:t>
      </w:r>
    </w:p>
    <w:p>
      <w:pPr>
        <w:pStyle w:val="Heading1"/>
      </w:pPr>
      <w:r>
        <w:t>Адрес, реквизиты и контакты</w:t>
      </w:r>
    </w:p>
    <w:tbl>
      <w:tblPr>
        <w:tblStyle w:val="TableGrid"/>
        <w:tblW w:type="auto" w:w="0"/>
        <w:jc w:val="center"/>
        <w:tblLook w:firstColumn="1" w:firstRow="1" w:lastColumn="0" w:lastRow="0" w:noHBand="0" w:noVBand="1" w:val="04A0"/>
      </w:tblPr>
      <w:tblGrid>
        <w:gridCol w:w="4847"/>
        <w:gridCol w:w="4847"/>
      </w:tblGrid>
      <w:tr>
        <w:trPr>
          <w:tblHeader/>
        </w:trPr>
        <w:tc>
          <w:tcPr>
            <w:tcW w:type="dxa" w:w="4847"/>
            <w:shd w:fill="21564E"/>
          </w:tcPr>
          <w:p>
            <w:pPr>
              <w:spacing w:after="100" w:before="80"/>
            </w:pPr>
            <w:r>
              <w:rPr>
                <w:b/>
                <w:color w:val="FFFFFF"/>
                <w:sz w:val="18"/>
              </w:rPr>
              <w:t>Реквизит</w:t>
            </w:r>
          </w:p>
        </w:tc>
        <w:tc>
          <w:tcPr>
            <w:tcW w:type="dxa" w:w="4847"/>
            <w:shd w:fill="21564E"/>
          </w:tcPr>
          <w:p>
            <w:pPr>
              <w:spacing w:after="100" w:before="80"/>
            </w:pPr>
            <w:r>
              <w:rPr>
                <w:b/>
                <w:color w:val="FFFFFF"/>
                <w:sz w:val="18"/>
              </w:rPr>
              <w:t>Значение</w:t>
            </w:r>
          </w:p>
        </w:tc>
      </w:tr>
      <w:tr>
        <w:trPr>
          <w:cantSplit/>
        </w:trPr>
        <w:tc>
          <w:tcPr>
            <w:tcW w:type="dxa" w:w="4847"/>
          </w:tcPr>
          <w:p>
            <w:pPr>
              <w:spacing w:after="100" w:before="80"/>
            </w:pPr>
            <w:r>
              <w:rPr>
                <w:sz w:val="18"/>
              </w:rPr>
            </w:r>
            <w:r>
              <w:rPr>
                <w:sz w:val="18"/>
              </w:rPr>
              <w:t>Наименование</w:t>
            </w:r>
          </w:p>
        </w:tc>
        <w:tc>
          <w:tcPr>
            <w:tcW w:type="dxa" w:w="4847"/>
          </w:tcPr>
          <w:p>
            <w:pPr>
              <w:spacing w:after="100" w:before="80"/>
            </w:pPr>
            <w:r>
              <w:rPr>
                <w:sz w:val="18"/>
              </w:rPr>
            </w:r>
            <w:r>
              <w:rPr>
                <w:sz w:val="18"/>
              </w:rPr>
              <w:t>Товарищество с ограниченной ответственностью «Хастлерс»</w:t>
            </w:r>
          </w:p>
        </w:tc>
      </w:tr>
      <w:tr>
        <w:trPr>
          <w:cantSplit/>
        </w:trPr>
        <w:tc>
          <w:tcPr>
            <w:tcW w:type="dxa" w:w="4847"/>
          </w:tcPr>
          <w:p>
            <w:pPr>
              <w:spacing w:after="100" w:before="80"/>
            </w:pPr>
            <w:r>
              <w:rPr>
                <w:sz w:val="18"/>
              </w:rPr>
            </w:r>
            <w:r>
              <w:rPr>
                <w:sz w:val="18"/>
              </w:rPr>
              <w:t>БИН</w:t>
            </w:r>
          </w:p>
        </w:tc>
        <w:tc>
          <w:tcPr>
            <w:tcW w:type="dxa" w:w="4847"/>
          </w:tcPr>
          <w:p>
            <w:pPr>
              <w:spacing w:after="100" w:before="80"/>
            </w:pPr>
            <w:r>
              <w:rPr>
                <w:sz w:val="18"/>
              </w:rPr>
            </w:r>
            <w:r>
              <w:rPr>
                <w:sz w:val="18"/>
              </w:rPr>
              <w:t>260740029223</w:t>
            </w:r>
          </w:p>
        </w:tc>
      </w:tr>
      <w:tr>
        <w:trPr>
          <w:cantSplit/>
        </w:trPr>
        <w:tc>
          <w:tcPr>
            <w:tcW w:type="dxa" w:w="4847"/>
          </w:tcPr>
          <w:p>
            <w:pPr>
              <w:spacing w:after="100" w:before="80"/>
            </w:pPr>
            <w:r>
              <w:rPr>
                <w:sz w:val="18"/>
              </w:rPr>
            </w:r>
            <w:r>
              <w:rPr>
                <w:sz w:val="18"/>
              </w:rPr>
              <w:t>Юридический адрес</w:t>
            </w:r>
          </w:p>
        </w:tc>
        <w:tc>
          <w:tcPr>
            <w:tcW w:type="dxa" w:w="4847"/>
          </w:tcPr>
          <w:p>
            <w:pPr>
              <w:spacing w:after="100" w:before="80"/>
            </w:pPr>
            <w:r>
              <w:rPr>
                <w:sz w:val="18"/>
              </w:rPr>
              <w:t>010000, Республика Казахстан, г. Астана, район Нұра, улица Чингиз Айтматов (Шыңғыс Айтматов), дом 36, подъезд 19, квартира 170</w:t>
            </w:r>
          </w:p>
        </w:tc>
      </w:tr>
      <w:tr>
        <w:trPr>
          <w:cantSplit/>
        </w:trPr>
        <w:tc>
          <w:tcPr>
            <w:tcW w:type="dxa" w:w="4847"/>
          </w:tcPr>
          <w:p>
            <w:pPr>
              <w:spacing w:after="100" w:before="80"/>
            </w:pPr>
            <w:r>
              <w:rPr>
                <w:sz w:val="18"/>
              </w:rPr>
            </w:r>
            <w:r>
              <w:rPr>
                <w:sz w:val="18"/>
              </w:rPr>
              <w:t>ИИК (KZT)</w:t>
            </w:r>
          </w:p>
        </w:tc>
        <w:tc>
          <w:tcPr>
            <w:tcW w:type="dxa" w:w="4847"/>
          </w:tcPr>
          <w:p>
            <w:pPr>
              <w:spacing w:after="100" w:before="80"/>
            </w:pPr>
            <w:r>
              <w:rPr>
                <w:sz w:val="18"/>
              </w:rPr>
            </w:r>
            <w:r>
              <w:rPr>
                <w:sz w:val="18"/>
              </w:rPr>
              <w:t>KZ61551Z600008051443</w:t>
            </w:r>
          </w:p>
        </w:tc>
      </w:tr>
      <w:tr>
        <w:trPr>
          <w:cantSplit/>
        </w:trPr>
        <w:tc>
          <w:tcPr>
            <w:tcW w:type="dxa" w:w="4847"/>
          </w:tcPr>
          <w:p>
            <w:pPr>
              <w:spacing w:after="100" w:before="80"/>
            </w:pPr>
            <w:r>
              <w:rPr>
                <w:sz w:val="18"/>
              </w:rPr>
            </w:r>
            <w:r>
              <w:rPr>
                <w:sz w:val="18"/>
              </w:rPr>
              <w:t>Банк</w:t>
            </w:r>
          </w:p>
        </w:tc>
        <w:tc>
          <w:tcPr>
            <w:tcW w:type="dxa" w:w="4847"/>
          </w:tcPr>
          <w:p>
            <w:pPr>
              <w:spacing w:after="100" w:before="80"/>
            </w:pPr>
            <w:r>
              <w:rPr>
                <w:sz w:val="18"/>
              </w:rPr>
            </w:r>
            <w:r>
              <w:rPr>
                <w:sz w:val="18"/>
              </w:rPr>
              <w:t>АО «Фридом Банк Казахстан»</w:t>
            </w:r>
          </w:p>
        </w:tc>
      </w:tr>
      <w:tr>
        <w:trPr>
          <w:cantSplit/>
        </w:trPr>
        <w:tc>
          <w:tcPr>
            <w:tcW w:type="dxa" w:w="4847"/>
          </w:tcPr>
          <w:p>
            <w:pPr>
              <w:spacing w:after="100" w:before="80"/>
            </w:pPr>
            <w:r>
              <w:rPr>
                <w:sz w:val="18"/>
              </w:rPr>
            </w:r>
            <w:r>
              <w:rPr>
                <w:sz w:val="18"/>
              </w:rPr>
              <w:t>БИК</w:t>
            </w:r>
          </w:p>
        </w:tc>
        <w:tc>
          <w:tcPr>
            <w:tcW w:type="dxa" w:w="4847"/>
          </w:tcPr>
          <w:p>
            <w:pPr>
              <w:spacing w:after="100" w:before="80"/>
            </w:pPr>
            <w:r>
              <w:rPr>
                <w:sz w:val="18"/>
              </w:rPr>
            </w:r>
            <w:r>
              <w:rPr>
                <w:sz w:val="18"/>
              </w:rPr>
              <w:t>KSNVKZKA</w:t>
            </w:r>
          </w:p>
        </w:tc>
      </w:tr>
      <w:tr>
        <w:trPr>
          <w:cantSplit/>
        </w:trPr>
        <w:tc>
          <w:tcPr>
            <w:tcW w:type="dxa" w:w="4847"/>
          </w:tcPr>
          <w:p>
            <w:pPr>
              <w:spacing w:after="100" w:before="80"/>
            </w:pPr>
            <w:r>
              <w:rPr>
                <w:sz w:val="18"/>
              </w:rPr>
            </w:r>
            <w:r>
              <w:rPr>
                <w:sz w:val="18"/>
              </w:rPr>
              <w:t>Сайт</w:t>
            </w:r>
          </w:p>
        </w:tc>
        <w:tc>
          <w:tcPr>
            <w:tcW w:type="dxa" w:w="4847"/>
          </w:tcPr>
          <w:p>
            <w:pPr>
              <w:spacing w:after="100" w:before="80"/>
            </w:pPr>
            <w:r>
              <w:rPr>
                <w:sz w:val="18"/>
              </w:rPr>
            </w:r>
            <w:r>
              <w:rPr>
                <w:sz w:val="18"/>
              </w:rPr>
              <w:t>https://ustaz.studio/</w:t>
            </w:r>
          </w:p>
        </w:tc>
      </w:tr>
      <w:tr>
        <w:trPr>
          <w:cantSplit/>
        </w:trPr>
        <w:tc>
          <w:tcPr>
            <w:tcW w:type="dxa" w:w="4847"/>
          </w:tcPr>
          <w:p>
            <w:pPr>
              <w:spacing w:after="100" w:before="80"/>
            </w:pPr>
            <w:r>
              <w:rPr>
                <w:sz w:val="18"/>
              </w:rPr>
            </w:r>
            <w:r>
              <w:rPr>
                <w:sz w:val="18"/>
              </w:rPr>
              <w:t>Электронная почта</w:t>
            </w:r>
          </w:p>
        </w:tc>
        <w:tc>
          <w:tcPr>
            <w:tcW w:type="dxa" w:w="4847"/>
          </w:tcPr>
          <w:p>
            <w:pPr>
              <w:spacing w:after="100" w:before="80"/>
            </w:pPr>
            <w:r>
              <w:rPr>
                <w:sz w:val="18"/>
              </w:rPr>
            </w:r>
            <w:r>
              <w:rPr>
                <w:sz w:val="18"/>
              </w:rPr>
              <w:t>abukawrld@gmail.com</w:t>
            </w:r>
          </w:p>
        </w:tc>
      </w:tr>
      <w:tr>
        <w:trPr>
          <w:cantSplit/>
        </w:trPr>
        <w:tc>
          <w:tcPr>
            <w:tcW w:type="dxa" w:w="4847"/>
          </w:tcPr>
          <w:p>
            <w:pPr>
              <w:spacing w:after="100" w:before="80"/>
            </w:pPr>
            <w:r>
              <w:rPr>
                <w:sz w:val="18"/>
              </w:rPr>
            </w:r>
            <w:r>
              <w:rPr>
                <w:sz w:val="18"/>
              </w:rPr>
              <w:t>Телефон поддержки</w:t>
            </w:r>
          </w:p>
        </w:tc>
        <w:tc>
          <w:tcPr>
            <w:tcW w:type="dxa" w:w="4847"/>
          </w:tcPr>
          <w:p>
            <w:pPr>
              <w:spacing w:after="100" w:before="80"/>
            </w:pPr>
            <w:r>
              <w:rPr>
                <w:sz w:val="18"/>
              </w:rPr>
            </w:r>
            <w:r>
              <w:rPr>
                <w:sz w:val="18"/>
              </w:rPr>
              <w:t>+7 705 633 42 63</w:t>
            </w:r>
          </w:p>
        </w:tc>
      </w:tr>
    </w:tbl>
    <w:p/>
    <w:sectPr w:rsidR="00FC693F" w:rsidRPr="0006063C" w:rsidSect="00034616">
      <w:headerReference w:type="default" r:id="rId9"/>
      <w:footerReference w:type="default" r:id="rId10"/>
      <w:pgSz w:w="11906" w:h="16838"/>
      <w:pgMar w:top="1020" w:right="1020"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Редакция • 05.10.2026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0746F"/>
        <w:sz w:val="18"/>
      </w:rPr>
      <w:t>USTAZ STUDIO  /  ТОО «Хастлерс»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21564E"/>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21564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color w:val="21564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40"/>
    </w:pPr>
    <w:rPr>
      <w:rFonts w:asciiTheme="majorHAnsi" w:eastAsiaTheme="majorEastAsia" w:hAnsiTheme="majorHAnsi" w:cstheme="majorBidi" w:ascii="Arial" w:hAnsi="Arial"/>
      <w:i/>
      <w:iCs/>
      <w:color w:val="21564E"/>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на предоставление доступа к Ustaz Studio</dc:title>
  <dc:subject>Ustaz Studio — документы для подключения оплаты</dc:subject>
  <dc:creator>ТОО «Хастлерс»</dc:creator>
  <cp:keywords/>
  <dc:description>Финальная русская редакция. Сведения об участии Astana Hub внесены по свидетельству № 3807 от 28.08.2026, предоставленному владельцем.</dc:description>
  <cp:lastModifiedBy/>
  <cp:revision>1</cp:revision>
  <dcterms:created xsi:type="dcterms:W3CDTF">2013-12-23T23:15:00Z</dcterms:created>
  <dcterms:modified xsi:type="dcterms:W3CDTF">2013-12-23T23:15:00Z</dcterms:modified>
  <cp:category/>
</cp:coreProperties>
</file>